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627.0" w:type="dxa"/>
        <w:jc w:val="left"/>
        <w:tblInd w:w="0.0" w:type="dxa"/>
        <w:tblLayout w:type="fixed"/>
        <w:tblLook w:val="0000"/>
      </w:tblPr>
      <w:tblGrid>
        <w:gridCol w:w="2627"/>
        <w:tblGridChange w:id="0">
          <w:tblGrid>
            <w:gridCol w:w="2627"/>
          </w:tblGrid>
        </w:tblGridChange>
      </w:tblGrid>
      <w:tr>
        <w:trPr>
          <w:trHeight w:val="24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72"/>
                <w:szCs w:val="72"/>
                <w:rtl w:val="0"/>
              </w:rPr>
              <w:t xml:space="preserve">РУС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CD/17/12.2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Оригинал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на английском языке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Для информации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8"/>
          <w:szCs w:val="28"/>
          <w:rtl w:val="0"/>
        </w:rPr>
        <w:t xml:space="preserve">СОВЕТ ДЕЛЕГАТОВ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8"/>
          <w:szCs w:val="28"/>
          <w:rtl w:val="0"/>
        </w:rPr>
        <w:t xml:space="preserve">МЕЖДУНАРОДНОГО ДВИЖЕНИЯ КРАСНОГО КРЕСТА И КРАСНОГО ПОЛУМЕСЯЦА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Анталья, Турция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10–11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ноября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 года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Международное гуманитарное право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Arial" w:cs="Arial" w:eastAsia="Arial" w:hAnsi="Arial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Arial" w:cs="Arial" w:eastAsia="Arial" w:hAnsi="Arial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ИНФОРМАЦИОННЫЙ ОТЧЁТ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(Часть II - Обычное международное гуманитарное право)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Документ подготовлен Международным Комитетом Красного Креста в ходе консультаций с Британским Красным Крестом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</w:rPr>
        <w:sectPr>
          <w:headerReference r:id="rId6" w:type="default"/>
          <w:headerReference r:id="rId7" w:type="first"/>
          <w:headerReference r:id="rId8" w:type="even"/>
          <w:footerReference r:id="rId9" w:type="first"/>
          <w:pgSz w:h="16838" w:w="11906"/>
          <w:pgMar w:bottom="1417" w:top="1417" w:left="1417" w:right="1417" w:header="0"/>
          <w:pgNumType w:start="1"/>
          <w:titlePg w:val="1"/>
        </w:sectPr>
      </w:pPr>
      <w:r w:rsidDel="00000000" w:rsidR="00000000" w:rsidRPr="00000000">
        <w:rPr>
          <w:rFonts w:ascii="Arial" w:cs="Arial" w:eastAsia="Arial" w:hAnsi="Arial"/>
          <w:rtl w:val="0"/>
        </w:rPr>
        <w:t xml:space="preserve">Женева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сентябрь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 года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360" w:line="259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КРАТКИЕ ОСНОВНЫЕ ВЫВОД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Данный информационный отчёт представлен в поддержку проекта резолюции Совета Делегатов под названием “Международное гуманитарное право”.  Предлагаемая резолюция состоит из двух основных частей: (I) обновлённая информация о работе, проведённой в ходе исполнения Резолюции 1 (“Укрепление международного гуманитарного права, защищающего людей, лишённых свободы”) и Резолюции 2 (“Повышение уровня соблюдения международного гуманитарного права”) 32-й Международной Конференции Красного Креста и Красного Полумесяца (Международная Конференция); и (II) обновлённой информации о работе, проведённой в области обычного международного гуманитарного права (МГП).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Часть II данного информационного отчёта, касающаяся обычного МГП, была подготовлена Международным Комитетом Красного Креста (МККК) в ходе консультаций с Британским Красным Крестом.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 2005 году, на основании мандата, данного МККК в 1995 году на 26-й Международной Конференции, было опубликовано исследование по вопросам обычного МГП.  В томе I (“Нормы”) исследования была определена 161 норма обычного МГП, применимого в вооружённых конфликтах международного и немеждународного характера.  В томе II (“Практика”) данного исследования содержались материалы, собранные в рамках подготовки к проведению исследования.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Так как в области МГП постоянно возникают новые методы работы, МККК принял решение обновлять сборник практических методов работы исследования и в 2007 году начал сотрудничество с Британским Красным Крестом по этому вопросу.  В этом году, в 2017 г., исполняется десять лет с начала этой совместной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Другие национальные общества также оказали щедрую поддержку в процессе обновления практической информации, представив данные о методах работы в своих странах за последнее десятилетие, таким образом внеся важный вклад в увеличение объёма и повышение качества имеющейся информации о практических методах работы.  Их вклады дополняют данные о методах практической работы, собранные по всему миру делегациями МККК.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 2010 года полные материалы исследования 2005 года, а также регулярно обновляемая информация о практических методах работы доступны в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онлайн базе данных по обычному МГП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МККК.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Обычное международное право, которое - как записано в статье 38(1)(b) Устава Международного Суда - происходит из “общепринятой практики, принятой в качестве закона”, является основным источником международного права, такого как договорное право.  Обычное МГП может заполнить пробелы в договорах в рамках МГП, которые могут возникнуть, например, когда договор в рамках МГП неприменим в условиях конкретного вооружённого конфликта, или когда в соответствующем применимом договоре не оговорены конкретные вопросы.  Следовательно, обычное МГП является принципиально важной составляющей урегулирования современных вооружённых конфликтов и защиты их жертв.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Исследование обычного МГП, в котором определены ключевые нормы обычного МГП и представлены подкрепляющие их методы практической работы, а также база данных по обычному МГП, которая позволяет легко получить доступ к материалам исследования, а также к регулярно обновляемой практической информации, упрощают определение и применение обычного МГП.  Они сегодня широко используются как в национальном, так и в международном контексте.  Материалы исследования и база данных также являются необходимыми инструментами в повседневной работе МККК.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Что касается обычного МГП, в предлагаемой резолюции отмечается, что обычное МГП по-прежнему имеет большое значение для урегулирования современных вооружённых конфликтов и защиты жертв, а также выражается благодарность участникам Международного Движения Красного Креста и Красного Полумесяца за их продолжающееся участие в работе в области обычного МГП.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360" w:line="259" w:lineRule="auto"/>
        <w:ind w:left="284" w:right="0" w:hanging="284"/>
        <w:contextualSpacing w:val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 Введение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Согласно мандату, данному Международному Комитету Красного Креста (МККК) на 26 Международной Конференции Красного Креста и Красного Полумесяца (Международная Конференция) в 1995 году, исследование по вопросам обычного международного гуманитарного права (МГП) было опубликовано в 2005 году.  Начиная с 2010 года полные материалы исследования, а также регулярно обновляемый раздел, посвящённый практической работе, доступны в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онлайн базе данных по обычному МГП</w:t>
        </w:r>
      </w:hyperlink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rtl w:val="0"/>
        </w:rPr>
        <w:t xml:space="preserve">.  Многие участники Международного Движения Красного Креста и Красного Полумесяца (Движение), в особенности, многочисленные национальные общества, вносят свой вклад постоянную работу по обновлению материалов.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Обычное МГП сегодня имеет как никогда большое значение в урегулировании современных вооружённых конфликтов и для защиты их жертв.  Исследование и база данных по обычному МГП являются основными инструментами популяризации обычного МГП и более широкого МГП.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 предлагаемой резолюции по МГП признаётся этот факт, а также выражается благодарность всем участникам Движения, принимавшим участие в работе по обычному МГП, за их вклад в это важное дело.</w:t>
      </w:r>
    </w:p>
    <w:p w:rsidR="00000000" w:rsidDel="00000000" w:rsidP="00000000" w:rsidRDefault="00000000" w:rsidRPr="00000000">
      <w:pPr>
        <w:keepNext w:val="1"/>
        <w:keepLines w:val="1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360" w:line="259" w:lineRule="auto"/>
        <w:ind w:left="284" w:right="0" w:hanging="284"/>
        <w:contextualSpacing w:val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Общая информация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На Международной Конференции, посвящённой защите жертв войны, состоявшейся в Женеве в 1993 г., в Итоговой декларации была повторно заявлена “необходимость повысить эффективность исполнения МГП”, а также был выражен призыв к “правительству Швейцарии созвать открытую рабочую группу экспертов для изучения практических аспектов достижения полного уважения к этому виду права и полного его соблюдения”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rtl w:val="0"/>
        </w:rPr>
        <w:t xml:space="preserve">.  Межгосударственная группа экспертов по вопросам защиты жертв войны, созванная, соответственно, в Женеве в январе 1995 года, дала, среди прочих, такую рекомендацию: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4" w:right="283" w:firstLine="0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Пригласить МККК подготовить при помощи экспертов в области МГП, представляющих различные географические регионы и разные юридические системы, а также при участии экспертов из правительств и международных организаций, отчёт о нормах обычного МГП, применимых в условиях вооружённых конфликтов международного и немеждународного характера, а также распространить отчёт среди государств и компетентных международных органов.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 декабре 1995 года 26-я Международная Конференция поддержала рекомендации Межправительственной группы экспертов и призвала МККК выполнить задание, порученное ему в рекомендациях, таким образом официально дав ему мандат подготовить “отчёт о нормах обычного МГП”.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 2003 году 28-я Международная Конференция, в абзаце 12 постановляющей части Резолюции 1 (“Принятие декларации и повестки дня гуманитарной работы”) “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отметила с благодарностью</w:t>
      </w:r>
      <w:r w:rsidDel="00000000" w:rsidR="00000000" w:rsidRPr="00000000">
        <w:rPr>
          <w:rFonts w:ascii="Arial" w:cs="Arial" w:eastAsia="Arial" w:hAnsi="Arial"/>
          <w:rtl w:val="0"/>
        </w:rPr>
        <w:t xml:space="preserve"> работу, выполненную МККК для проведения исследования обычного международного гуманитарного права и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выразила просьбу </w:t>
      </w:r>
      <w:r w:rsidDel="00000000" w:rsidR="00000000" w:rsidRPr="00000000">
        <w:rPr>
          <w:rFonts w:ascii="Arial" w:cs="Arial" w:eastAsia="Arial" w:hAnsi="Arial"/>
          <w:rtl w:val="0"/>
        </w:rPr>
        <w:t xml:space="preserve">к МККК продолжить эту работу и отчитаться на Международной Конференции в 2007 году”.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 2005 году после окончания масштабных глобальных исследований и консультаций исследование было опубликовано.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5"/>
      </w:r>
      <w:r w:rsidDel="00000000" w:rsidR="00000000" w:rsidRPr="00000000">
        <w:rPr>
          <w:rFonts w:ascii="Arial" w:cs="Arial" w:eastAsia="Arial" w:hAnsi="Arial"/>
          <w:rtl w:val="0"/>
        </w:rPr>
        <w:t xml:space="preserve">  Оно состоит из двух томов.  В томе I (“Нормы”) перечислена 161 норма обычного МГП, определённая в ходе исследования, а также даются соответствующие комментарии.  В томе II (“Практика”) в доступной форме поданы материалы, собранные в ходе подготовки исследования.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Публикация материалов исследования была отмечена в Резолюции 1 (“Обычное международное гуманитарное право”) Совета Делегатов 2005 года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6"/>
      </w:r>
      <w:r w:rsidDel="00000000" w:rsidR="00000000" w:rsidRPr="00000000">
        <w:rPr>
          <w:rFonts w:ascii="Arial" w:cs="Arial" w:eastAsia="Arial" w:hAnsi="Arial"/>
          <w:rtl w:val="0"/>
        </w:rPr>
        <w:t xml:space="preserve">, который, в постановляющей части:</w:t>
      </w:r>
    </w:p>
    <w:p w:rsidR="00000000" w:rsidDel="00000000" w:rsidP="00000000" w:rsidRDefault="00000000" w:rsidRPr="00000000">
      <w:pPr>
        <w:ind w:left="567" w:right="283" w:hanging="283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</w:t>
        <w:tab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приветствовал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исследование обычного международного гуманитарного права, опубликованное МККК, как важный вклад в дело защиты жертв войны;</w:t>
      </w:r>
    </w:p>
    <w:p w:rsidR="00000000" w:rsidDel="00000000" w:rsidP="00000000" w:rsidRDefault="00000000" w:rsidRPr="00000000">
      <w:pPr>
        <w:ind w:left="567" w:right="283" w:hanging="283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рекомендовал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исследование всем участникам Движения как основу для обсуждений, где это уместно, с властями государств, представителями вооружённых сил, академических кругов и сторон вооружённых конфликтов;</w:t>
      </w:r>
    </w:p>
    <w:p w:rsidR="00000000" w:rsidDel="00000000" w:rsidP="00000000" w:rsidRDefault="00000000" w:rsidRPr="00000000">
      <w:pPr>
        <w:ind w:left="567" w:right="283" w:hanging="283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пригласил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национальные общества, насколько позволяют их возможности, как можно более широко распространять результаты исследования.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 2007 году по запросу 28-й Международной Конференции МККК представил отчёт, озаглавленный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Исследование международного гуманитарного права</w:t>
      </w:r>
      <w:r w:rsidDel="00000000" w:rsidR="00000000" w:rsidRPr="00000000">
        <w:rPr>
          <w:rFonts w:ascii="Arial" w:cs="Arial" w:eastAsia="Arial" w:hAnsi="Arial"/>
          <w:rtl w:val="0"/>
        </w:rPr>
        <w:t xml:space="preserve">, на 30-й Международной Конференции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7"/>
      </w:r>
      <w:r w:rsidDel="00000000" w:rsidR="00000000" w:rsidRPr="00000000">
        <w:rPr>
          <w:rFonts w:ascii="Arial" w:cs="Arial" w:eastAsia="Arial" w:hAnsi="Arial"/>
          <w:rtl w:val="0"/>
        </w:rPr>
        <w:t xml:space="preserve">.  В отчёте описывалось, как было задумано исследование, как велась работа, какие основные выводы были сделаны по результатам исследования, а также была описана работа по популяризации исследования и инициация совместного проекта с Британским Красным Крестом по обновлению практической части исследования.  30-я Международная Конференция в пункте 8 постановляющей части Резолюции 1 (“Вместе за гуманизм”)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8"/>
      </w:r>
      <w:r w:rsidDel="00000000" w:rsidR="00000000" w:rsidRPr="00000000">
        <w:rPr>
          <w:rFonts w:ascii="Arial" w:cs="Arial" w:eastAsia="Arial" w:hAnsi="Arial"/>
          <w:rtl w:val="0"/>
        </w:rPr>
        <w:t xml:space="preserve"> впоследствии “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поблагодарила </w:t>
      </w:r>
      <w:r w:rsidDel="00000000" w:rsidR="00000000" w:rsidRPr="00000000">
        <w:rPr>
          <w:rFonts w:ascii="Arial" w:cs="Arial" w:eastAsia="Arial" w:hAnsi="Arial"/>
          <w:rtl w:val="0"/>
        </w:rPr>
        <w:t xml:space="preserve">МККК за его всеобъемлющий труд по проведению исследования обычного международного гуманитарного права, а также за инициирование совместной с Британским Красным Крестом работы по обновлению “практического” тома исследования”.</w:t>
      </w:r>
    </w:p>
    <w:p w:rsidR="00000000" w:rsidDel="00000000" w:rsidP="00000000" w:rsidRDefault="00000000" w:rsidRPr="00000000">
      <w:pPr>
        <w:keepNext w:val="1"/>
        <w:keepLines w:val="1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360" w:line="259" w:lineRule="auto"/>
        <w:ind w:left="284" w:right="0" w:hanging="284"/>
        <w:contextualSpacing w:val="0"/>
        <w:jc w:val="both"/>
        <w:rPr>
          <w:rFonts w:ascii="Arial" w:cs="Arial" w:eastAsia="Arial" w:hAnsi="Arial"/>
          <w:b w:val="1"/>
          <w:smallCaps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Анализ / Процесс</w:t>
      </w:r>
    </w:p>
    <w:p w:rsidR="00000000" w:rsidDel="00000000" w:rsidP="00000000" w:rsidRDefault="00000000" w:rsidRPr="00000000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360" w:line="259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3.1.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Обновление практической части исследования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Начиная с 2007 года, совместная группа исследователей, представляющих Британский Красный Крест и МККК, базирующаяся в Лотерпахтском Центре международного права в Кембридже, в Великобритании, вела работу по обновлению практического раздела исследования.  Британский Красный Крест также постоянно поддерживал работу по обновлению практической части, предоставляя информацию, касающуюся национальной практики Соединённого Королевства в области МГП.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Кроме того, свою поддержку работе по обновлению практической части оказывали и другие национальные общества, включая общества Красного Креста Австрии, Бельгии Чехии, Дании, Финляндии, Франции, Германии, Греции, Венгрии, Ирландии, Италии, Нидерландов, Норвегии, Польши, Румынии, Испании, Швеции и Швейцарии.  Иногда эта поддержка оказывалась при участии национальных комитетов по вопросам МГП.  Они самостоятельно либо проводят исследование, сбор данных или, при необходимости, переводят материалы по национальной практике в своих странах, либо делятся работой независимых исследователей из своих стран. Их щедрая поддержка является необходимым фактором в обеспечении масштаба и качества обновлений практической информации.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Любая аналогичная поддержка в будущем, включая помощь других национальных обществ, будет принята с благодарностью.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Вклад национальных обществ дополняет материалы о практике в разных странах, собранные по всему миру делегациями МККК, часто в сотрудничестве с национальными партнёрами и экспертами.  В целом, МККК в настоящее время стремится собрать материалы о национальной практике в 106 странах.  Эти страны были выбраны, чтобы обеспечить максимально возможную географическую репрезентативность, чтобы представить различные типы правовых систем и отразить различный опыт работы с вопросами МГП и вооружёнными конфликтами.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 дополнение к национальной практике (установленной в военных уставах, национальном законодательстве, национальной правоприменительной практике и других национальных методах практической работы, таких как официальные отчёты правительства или заявления на высоком уровне), в обновления практического раздела исследования обычного МГП с 2007 года входят международные материалы, в которых, например, приводится анализ решений международных судов и трибуналов.  Группа исследователей в Международной клинике уголовного и гуманитарного права Университета Лаваля из Канады проводит работу по анализу такого материала с 2014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Полные материалы исследования 2005 года и обновления его практической части находятся в свободном доступе в базе данных МККК по обычному МГП с 2010 года.  База данных удобна для навигации и поиска, в ней используется сильный поисковый механизм, который связан с другими базами данных МККК по вопросам МГП.  Целью является сделать нормы обычного МГП, определённые в исследовании 2005 года, и соответствующие - регулярно обновляемые - практические аспекты как можно более доступными.  Особые усилия прилагаются к тому, чтобы снизить время между возникновением соответствующей практики и её внесением в базу данных обычного МГП.</w:t>
      </w:r>
    </w:p>
    <w:p w:rsidR="00000000" w:rsidDel="00000000" w:rsidP="00000000" w:rsidRDefault="00000000" w:rsidRPr="00000000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360" w:line="259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3.2.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Как были приняты и используются исследование обычного МГП и база данных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Со времени публикации материалов исследования обычного МГП в 2005 году и создания базы данных в 2010 году они не только стали важным справочным материалом для повседневной работы МККК, но и использовались многими другими организациями, включая, например, вооружённые силы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10"/>
      </w:r>
      <w:r w:rsidDel="00000000" w:rsidR="00000000" w:rsidRPr="00000000">
        <w:rPr>
          <w:rFonts w:ascii="Arial" w:cs="Arial" w:eastAsia="Arial" w:hAnsi="Arial"/>
          <w:rtl w:val="0"/>
        </w:rPr>
        <w:t xml:space="preserve">, национальные и международные суды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11"/>
      </w:r>
      <w:r w:rsidDel="00000000" w:rsidR="00000000" w:rsidRPr="00000000">
        <w:rPr>
          <w:rFonts w:ascii="Arial" w:cs="Arial" w:eastAsia="Arial" w:hAnsi="Arial"/>
          <w:rtl w:val="0"/>
        </w:rPr>
        <w:t xml:space="preserve">, панели экспертов ООН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12"/>
      </w:r>
      <w:r w:rsidDel="00000000" w:rsidR="00000000" w:rsidRPr="00000000">
        <w:rPr>
          <w:rFonts w:ascii="Arial" w:cs="Arial" w:eastAsia="Arial" w:hAnsi="Arial"/>
          <w:rtl w:val="0"/>
        </w:rPr>
        <w:t xml:space="preserve">.  Как нормы, определённые в исследовании 2005 года (Том I), так и практическая часть, регулярно обновляемая и доступная в базе данных, являются надёжными источниками информации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13"/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Статистика по использованию базы данных обычного МГП - как раздела, содержащего нормы, так и обновляемого практического раздела - является дополнительным подтверждением чрезвычайной важности обычного МГП.  С того времени как база данных стала доступна онлайн в 2010 году, число просмотров базы данных выросло на 542%, а в 2016 году число просмотров составило 727 968.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14"/>
      </w:r>
      <w:r w:rsidDel="00000000" w:rsidR="00000000" w:rsidRPr="00000000">
        <w:rPr>
          <w:rFonts w:ascii="Arial" w:cs="Arial" w:eastAsia="Arial" w:hAnsi="Arial"/>
          <w:rtl w:val="0"/>
        </w:rPr>
        <w:t xml:space="preserve">  Статистика также показывает, что доступ к базе данных осуществляется из всех частей мира, включая страны, связанные с ситуациями вооружённого конфликта.  То, какая информация просматривается наиболее часто, отражает вопросы, находящиеся в основе МГП и текущих дебатов, в частности, это определение военного преступления, коллективное наказание, принцип различия, определение участника боевых действий и принцип пропорциональности.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Обращение и очевидный интерес к обычному МГП со стороны различных организаций показывает, что обычное МГП остаётся важным компонентом правового урегулирования современных вооружённых конфликтов и защиты их жертв.  Сегодня МГП широко внедряется в договоры.  Женевские конвенции 1949 года ратифицировали или присоединились к ним страны во всём мире, значительное число государств являются сторонами дополняющих Женевские Конвенции Протоколов I и II от 1997 года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15"/>
      </w:r>
      <w:r w:rsidDel="00000000" w:rsidR="00000000" w:rsidRPr="00000000">
        <w:rPr>
          <w:rFonts w:ascii="Arial" w:cs="Arial" w:eastAsia="Arial" w:hAnsi="Arial"/>
          <w:rtl w:val="0"/>
        </w:rPr>
        <w:t xml:space="preserve">. Тем не менее, как источник международного права, который берёт своё начало в “общепринятой практике, принятой как закон”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16"/>
      </w:r>
      <w:r w:rsidDel="00000000" w:rsidR="00000000" w:rsidRPr="00000000">
        <w:rPr>
          <w:rFonts w:ascii="Arial" w:cs="Arial" w:eastAsia="Arial" w:hAnsi="Arial"/>
          <w:rtl w:val="0"/>
        </w:rPr>
        <w:t xml:space="preserve"> и не зависит от ратификации документа или присоединения к нему чтобы иметь обязательную силу, обычное право может восполнить пробелы, имеющиеся в договорном праве.  В области МГП такие пробелы могут возникнуть, например, когда договор МГП не применим в конкретном вооружённом конфликте (так как не был ратифицирован, либо страна к нему не присоединилась, либо ввиду конкретных условий применения договора, как в случае с Дополнительным Протоколом II), либо когда применимое договорное право не включает конкретный вопрос. Последний случай имеет особое значение при вооружённых конфликтах немеждународного характера - сегодня это доминирующий тип вооружённого конфликта.  Договорное право МГП, регулирующее вооруженные конфликты немеждународного характера, содержит принципиально важные положения, в частности, в виде статьи 3, общей для Женевских Конвенций и Дополнительного Протокола II.  Однако, по сравнению с договорным правом МГП для международных вооружённых конфликтов эта статья гораздо менее детализирована и всеобъемлюща.  Таким образом, обычное МГП остаётся чрезвычайно важным в урегулированиии современных вооружённых конфликтов.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На самом деле, как показано выше, на материалы исследования обычного МГП и на базу данных широко полагаются как на источник информации о МГП и о практике в области МГП, и это является чётким индикатором того, что, как и ожидалось в начале работы, эти документы считаются полезным источником справочной информации.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1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240" w:lineRule="auto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Значение базы данных обычного МГП было признано, когда в 2015 году она была единогласно выбрана Международной группой исследователей права Американского Общества международного права для получения почётной награды за исследование в области международного права Jus Gentium Research Award.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18"/>
      </w:r>
      <w:r w:rsidDel="00000000" w:rsidR="00000000" w:rsidRPr="00000000">
        <w:rPr>
          <w:rFonts w:ascii="Arial" w:cs="Arial" w:eastAsia="Arial" w:hAnsi="Arial"/>
          <w:rtl w:val="0"/>
        </w:rPr>
        <w:t xml:space="preserve"> Более того, в 2016 году Генеральная Ассамблея ООН в своей двухлетней резолюции, озаглавленной “Статус Дополнительных Протоколов Женевских Конвенций, относящихся к защите жертв вооружённых конфликтов”, сделала ссылку, где приветствовала работу по регулярному обновлению базы данных обычного МГП.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1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Обычное международное право в настоящее время широко обсуждается в более общем понимании.  В середине 2016 года Комиссия по международному праву приняла в первом чтении проект выводов об определениях обычного международного права с комментариями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20"/>
      </w:r>
      <w:r w:rsidDel="00000000" w:rsidR="00000000" w:rsidRPr="00000000">
        <w:rPr>
          <w:rFonts w:ascii="Arial" w:cs="Arial" w:eastAsia="Arial" w:hAnsi="Arial"/>
          <w:rtl w:val="0"/>
        </w:rPr>
        <w:t xml:space="preserve">.  Таким образом, она столкнулась со многими теми же методологическими вопросами, что и авторы исследования обычного МГП.  Подход, использованный при проведении исследования - начавшегося более 20 лет назад - тесно перекликается с подходом, используемым в настоящее время Комиссией по международному праву.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2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360" w:line="259" w:lineRule="auto"/>
        <w:ind w:left="284" w:right="0" w:hanging="284"/>
        <w:contextualSpacing w:val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Вывод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Более двадцати лет прошло с тех пор, как в 1995 году 26-я Международная Конференция поручила МККК подготовить “отчёт об обычных нормах МГП, применимых в условиях вооружённых конфликтов международного и немеждународного характера, а также распространить отчёт среди государств и соответствующих международных организаций”.  Более десяти лет прошло после публикации исследования обычного МГП в 2005 году.  База данных обычного МГП доступна в интернете с 2010 года.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Обычное МГП и инструменты обычного МГП, доступные мировому сообществу благодаря работе участников Движения, сегодня как никогда актуальны.  Как подчеркнул в 2005 году в своём предисловии к исследованию доктор Ив Сандоз:</w:t>
      </w:r>
    </w:p>
    <w:p w:rsidR="00000000" w:rsidDel="00000000" w:rsidP="00000000" w:rsidRDefault="00000000" w:rsidRPr="00000000">
      <w:pPr>
        <w:ind w:left="284" w:right="283" w:firstLine="0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Исследование до сих пор является фотографией реальности, сделанной с абсолютной честностью, то есть безо всяких попыток заставить закон гласить то, что кто-либо хочет, чтобы он гласил.  Я убеждён, что именно это делает исследование надёжным во всём мире.  Хотя оно представляет наиболее честное отражение реальности, мы не говорим, что исследование является окончательным словом.  (...)  Путь его читают, обсуждают и комментируют.  Пусть оно вызывает повторное исследование международного гуманитарного права и средств повышения уровня согласованности законодательства и его развития.  (...)  Исследование обычного международного гуманитарного права - это больше чем отчёт об удачно проведённом проекте; это, прежде всего, вызов для будущего.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" w:lineRule="auto"/>
        <w:ind w:left="0" w:right="0" w:firstLine="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Именно на этом фоне в части предлагаемой резолюции по МГП, относящейся к обычному МГП, отмечается неуменьшающееся значение обычного МГП для урегулирования современных вооружённых конфликтов, подчёркивается исследование обычного МГП как важный вклад в дело защиты жертв вооружённых конфликтов, исследование и база данных рекомендуются участникам Движения как основы для дискуссии и выражается благодарность всем участникам Движения, занятым в продолжающейся работе по обновлению практического раздела исследования.</w:t>
      </w:r>
    </w:p>
    <w:sectPr>
      <w:type w:val="continuous"/>
      <w:pgSz w:h="16838" w:w="11906"/>
      <w:pgMar w:bottom="1417" w:top="1417" w:left="1417" w:right="1417" w:head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Arial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60" w:before="0" w:line="259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868" w:before="0" w:line="259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otnote w:id="0"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hyperlink r:id="rId1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https://ihl-databases.icrc.org/customary-ihl/eng/docs/home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(все адреса в интернете проверены в июле 2017 года)</w:t>
      </w:r>
    </w:p>
  </w:footnote>
  <w:footnote w:id="1"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hyperlink r:id="rId2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https://www.icrc.org/eng/resources/documents/misc/57jms8.htm</w:t>
        </w:r>
      </w:hyperlink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hyperlink r:id="rId3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https://www.icrc.org/eng/resources/documents/article/other/57jmbm.htm</w:t>
        </w:r>
      </w:hyperlink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См. Резолюцию 1 26-й Международной Конференции, абзацы 4 и 8 постановляющей части: </w:t>
      </w:r>
      <w:hyperlink r:id="rId4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https://www.icrc.org/eng/resources/documents/article/other/57jmvh.htm</w:t>
        </w:r>
      </w:hyperlink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hyperlink r:id="rId5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https://www.icrc.org/eng/resources/documents/publication/p1103.htm</w:t>
        </w:r>
      </w:hyperlink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Жан-Мари Хенкертс и Луиз Досвалд-Бек (редакторы),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Обычное международное гуманитарное право,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Cambridge University Press, МККК, 2005 г.</w:t>
      </w:r>
    </w:p>
  </w:footnote>
  <w:footnote w:id="6"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hyperlink r:id="rId6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https://www.icrc.org/eng/resources/documents/resolution/council-of-delegates-resolutions-181105.htm</w:t>
        </w:r>
      </w:hyperlink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https://www.icrc.org/eng/assets/files/other/30ic_8-3_customaryihl_report_final_eng.pdf</w:t>
        </w:r>
      </w:hyperlink>
      <w:r w:rsidDel="00000000" w:rsidR="00000000" w:rsidRPr="00000000">
        <w:rPr>
          <w:rtl w:val="0"/>
        </w:rPr>
      </w:r>
    </w:p>
  </w:footnote>
  <w:footnote w:id="8"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https://www.icrc.org/eng/resources/documents/resolution/30-international-conference-resolution-1-2007.htm</w:t>
        </w:r>
      </w:hyperlink>
      <w:r w:rsidDel="00000000" w:rsidR="00000000" w:rsidRPr="00000000">
        <w:rPr>
          <w:rtl w:val="0"/>
        </w:rPr>
      </w:r>
    </w:p>
  </w:footnote>
  <w:footnote w:id="9"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Национальные общества также, например, внесли важный вклад в перевод итогового документа исследования (включая список норм), который был впервые опубликован в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Международном вестнике Красного Креста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в марте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2005 года: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https://www.icrc.org/en/document/customary-international-humanitarian-law-rules-all-language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</w:footnote>
  <w:footnote w:id="10"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См., например, колумбийский документ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Manual de Derecho Operacional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Пособие по оперативному праву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), опубликованное Comando General de las Fuerzas Militares (Главнокомандующим вооружённых сил), Республика Колумбия, 2009, стр. 37–40, 42–47 и 52–56.</w:t>
      </w:r>
    </w:p>
  </w:footnote>
  <w:footnote w:id="11"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См., например, Израиль, Заседание Верховного суда в качестве Высокого суда правосудия,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Общественный комитет против пыток в Израиле и другие v. Правительство Израиля и другие,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HCJ 769/ 02, 13 декабря 2006, абзацы 23, 29–30 и 41–42; и ICTY, Судебная палата,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Прокурор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v.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Готовина и другие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решение суда от 15 апреля 2011, абзац 1779.</w:t>
      </w:r>
      <w:r w:rsidDel="00000000" w:rsidR="00000000" w:rsidRPr="00000000">
        <w:rPr>
          <w:rtl w:val="0"/>
        </w:rPr>
      </w:r>
    </w:p>
  </w:footnote>
  <w:footnote w:id="12"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см., например,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Отчёт Панели экспертов Генерального секретаря по отчётности в Шри Ланке, 31 марта 2011 г., абзацы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183, 194, 196, 200–201, 203–204, 207, 211, 215–218, 237, 239–241, 246 и 268. Подробный обзор справочных материалов для исследования и базы данных см. в публикации Жан-Мари Хенкертс и Элс Дебуф, “МККК и разъяснение международного гуманитарного права”, в публикации Брайан Д. Лепард (ред.),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Повторное рассмотрение международного гуманитарного права,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Cambridge University Press, 2017, стр. 168–178.</w:t>
      </w:r>
    </w:p>
  </w:footnote>
  <w:footnote w:id="13"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См., например, Соединённое Королевство, Верховный Суд, Абд Али Хамид Аль-Вахид (апеллянт) v. Министерство обороны (ответчик), Сердар Мохаммед (Ответчик) v. Министерство обороны (апеллянт), решение от 17 января 2017 г.:  Лорд Рид (заявляющий особое мнение) (с которым согласен Лорд Керр), абзац 311, касательно национальной практики Германии 2007 года в базе данных обычного МГП: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https://www.supremecourt.uk/cases/docs/uksc-2014-0219-judgment.pdf</w:t>
        </w:r>
      </w:hyperlink>
      <w:r w:rsidDel="00000000" w:rsidR="00000000" w:rsidRPr="00000000">
        <w:rPr>
          <w:rtl w:val="0"/>
        </w:rPr>
      </w:r>
    </w:p>
  </w:footnote>
  <w:footnote w:id="14"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Для сравнения, число просмотров базы данных договоров МККК на английском языке в 2016 году составило 1 115 291 раз.</w:t>
      </w:r>
    </w:p>
  </w:footnote>
  <w:footnote w:id="15"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Обзор государств, являющихся сторонами основных договоров: </w:t>
      </w:r>
      <w:hyperlink r:id="rId11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http://ihl-databases.icrc.org/applic/ihl/ihl.nsf/xsp/.ibmmodres/domino/OpenAttachment/applic/ihl/ihl.nsf/4B377401045736E0C12580A300505F5B/%24File/IHL_and_other_related_Treaties.pdf?Open</w:t>
        </w:r>
      </w:hyperlink>
      <w:r w:rsidDel="00000000" w:rsidR="00000000" w:rsidRPr="00000000">
        <w:rPr>
          <w:rtl w:val="0"/>
        </w:rPr>
      </w:r>
    </w:p>
  </w:footnote>
  <w:footnote w:id="16"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Устав Международного суда правосудия, Статья 38(1)(b).</w:t>
      </w:r>
    </w:p>
  </w:footnote>
  <w:footnote w:id="17"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Несмотря на озабоченность, выраженную в отношении этого исследования, которая стала поводом важных и полезных дискуссий, см., например, Джон Б. Беллингер III и Вильям Дж. Хейнс II, “Ответ правительства США на исследование Международного Комитета Красного Креста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Обычное международное гуманитарное право”, Международный вестник Красного Креста, том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89, No. 866, июнь 2007, стр. 443–471: </w:t>
      </w:r>
      <w:hyperlink r:id="rId12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https://www.icrc.org/en/international-review/article/us-government-response-international-committee-red-cross-study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; и Жан-Мари Хенкертс, “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Обычное международное гуманитарное право:  ответ на комментарии США”, Международный вестник Красного Креста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том. 89, No. 866, июнь 2007, стр 473–488: </w:t>
      </w:r>
      <w:hyperlink r:id="rId13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https://www.icrc.org/en/international-review/article/customary-international-humanitarian-law-response-us-comments</w:t>
        </w:r>
      </w:hyperlink>
      <w:r w:rsidDel="00000000" w:rsidR="00000000" w:rsidRPr="00000000">
        <w:rPr>
          <w:rtl w:val="0"/>
        </w:rPr>
      </w:r>
    </w:p>
  </w:footnote>
  <w:footnote w:id="18"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hyperlink r:id="rId14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http://intercrossblog.icrc.org/blog/icrc-customary-law-database-wins-first-ever-jus-gentium-award?rq=jus%20gentium</w:t>
        </w:r>
      </w:hyperlink>
      <w:r w:rsidDel="00000000" w:rsidR="00000000" w:rsidRPr="00000000">
        <w:rPr>
          <w:rtl w:val="0"/>
        </w:rPr>
      </w:r>
    </w:p>
  </w:footnote>
  <w:footnote w:id="19"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hyperlink r:id="rId15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http://www.un.org/en/ga/search/view_doc.asp?symbol=A/RES/71/144</w:t>
        </w:r>
      </w:hyperlink>
      <w:r w:rsidDel="00000000" w:rsidR="00000000" w:rsidRPr="00000000">
        <w:rPr>
          <w:rtl w:val="0"/>
        </w:rPr>
      </w:r>
    </w:p>
  </w:footnote>
  <w:footnote w:id="20"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См.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Отчёт Комиссии по международному праву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шестьдесят восьмая сессия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(2 мая - 10 июня и 4 июля – 12 августа 2016), Генеральная Ассамблея, Официальный протокол, семьдесят первая сессия, Дополнение №10 (A/71/10), ООН, Нью-Йорк, 2016, “Глава  V. Идентификация обычного международного права”, стр. 74–117: </w:t>
      </w:r>
      <w:hyperlink r:id="rId16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http://legal.un.org/ilc/reports/2016/</w:t>
        </w:r>
      </w:hyperlink>
      <w:r w:rsidDel="00000000" w:rsidR="00000000" w:rsidRPr="00000000">
        <w:rPr>
          <w:rtl w:val="0"/>
        </w:rPr>
      </w:r>
    </w:p>
  </w:footnote>
  <w:footnote w:id="21"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См., например, проект вывода 6 Комиссии по международному праву (“Формы практической работы”), где отмечается, что “практическая работа может принимать широкий диапазон форм”, что она “включает как физические, так и вербальные акты”, и что “не существует заранее определённой иерархии среди различных форм практической работы”.  В комментарии к этому отмечено, что “сейчас является общепринятым, что вербальное поведение (письменное или устное) может считаться практикой”.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60" w:before="708" w:line="259" w:lineRule="auto"/>
      <w:ind w:left="0" w:right="0" w:firstLine="0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60" w:before="0" w:line="259" w:lineRule="auto"/>
      <w:ind w:left="0" w:right="360" w:firstLine="0"/>
      <w:contextualSpacing w:val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ab/>
      <w:tab/>
      <w:tab/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708" w:line="240" w:lineRule="auto"/>
      <w:ind w:left="0" w:right="0" w:firstLine="0"/>
      <w:contextualSpacing w:val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773600" cy="1450800"/>
          <wp:effectExtent b="0" l="0" r="0" t="0"/>
          <wp:docPr descr="M:\Travail\Documents 2017\English\CoD 2017\templates\Logo-RCRC_CoD_2017-EN.jpg" id="1" name="image2.jpg"/>
          <a:graphic>
            <a:graphicData uri="http://schemas.openxmlformats.org/drawingml/2006/picture">
              <pic:pic>
                <pic:nvPicPr>
                  <pic:cNvPr descr="M:\Travail\Documents 2017\English\CoD 2017\templates\Logo-RCRC_CoD_2017-EN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73600" cy="14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60" w:before="708" w:line="259" w:lineRule="auto"/>
      <w:ind w:left="0" w:right="0" w:firstLine="0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60" w:before="0" w:line="259" w:lineRule="auto"/>
      <w:ind w:left="0" w:right="36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CA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ihl-databases.icrc.org/customary-ihl/eng/docs/home" TargetMode="External"/><Relationship Id="rId10" Type="http://schemas.openxmlformats.org/officeDocument/2006/relationships/hyperlink" Target="https://ihl-databases.icrc.org/customary-ihl/eng/docs/home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notes.xml.rels><?xml version="1.0" encoding="UTF-8" standalone="yes"?><Relationships xmlns="http://schemas.openxmlformats.org/package/2006/relationships"><Relationship Id="rId11" Type="http://schemas.openxmlformats.org/officeDocument/2006/relationships/hyperlink" Target="http://ihl-databases.icrc.org/applic/ihl/ihl.nsf/xsp/.ibmmodres/domino/OpenAttachment/applic/ihl/ihl.nsf/4B377401045736E0C12580A300505F5B/%24File/IHL_and_other_related_Treaties.pdf?Open" TargetMode="External"/><Relationship Id="rId10" Type="http://schemas.openxmlformats.org/officeDocument/2006/relationships/hyperlink" Target="https://www.supremecourt.uk/cases/docs/uksc-2014-0219-judgment.pdf" TargetMode="External"/><Relationship Id="rId13" Type="http://schemas.openxmlformats.org/officeDocument/2006/relationships/hyperlink" Target="https://www.icrc.org/en/international-review/article/customary-international-humanitarian-law-response-us-comments" TargetMode="External"/><Relationship Id="rId12" Type="http://schemas.openxmlformats.org/officeDocument/2006/relationships/hyperlink" Target="https://www.icrc.org/en/international-review/article/us-government-response-international-committee-red-cross-study" TargetMode="External"/><Relationship Id="rId1" Type="http://schemas.openxmlformats.org/officeDocument/2006/relationships/hyperlink" Target="https://ihl-databases.icrc.org/customary-ihl/eng/docs/home" TargetMode="External"/><Relationship Id="rId2" Type="http://schemas.openxmlformats.org/officeDocument/2006/relationships/hyperlink" Target="https://www.icrc.org/eng/resources/documents/misc/57jms8.htm" TargetMode="External"/><Relationship Id="rId3" Type="http://schemas.openxmlformats.org/officeDocument/2006/relationships/hyperlink" Target="https://www.icrc.org/eng/resources/documents/article/other/57jmbm.htm" TargetMode="External"/><Relationship Id="rId4" Type="http://schemas.openxmlformats.org/officeDocument/2006/relationships/hyperlink" Target="https://www.icrc.org/eng/resources/documents/article/other/57jmvh.htm" TargetMode="External"/><Relationship Id="rId9" Type="http://schemas.openxmlformats.org/officeDocument/2006/relationships/hyperlink" Target="https://www.icrc.org/en/document/customary-international-humanitarian-law-rules-all-language" TargetMode="External"/><Relationship Id="rId15" Type="http://schemas.openxmlformats.org/officeDocument/2006/relationships/hyperlink" Target="http://www.un.org/en/ga/search/view_doc.asp?symbol=A/RES/71/144" TargetMode="External"/><Relationship Id="rId14" Type="http://schemas.openxmlformats.org/officeDocument/2006/relationships/hyperlink" Target="http://intercrossblog.icrc.org/blog/icrc-customary-law-database-wins-first-ever-jus-gentium-award?rq=jus%20gentium" TargetMode="External"/><Relationship Id="rId16" Type="http://schemas.openxmlformats.org/officeDocument/2006/relationships/hyperlink" Target="http://legal.un.org/ilc/reports/2016/" TargetMode="External"/><Relationship Id="rId5" Type="http://schemas.openxmlformats.org/officeDocument/2006/relationships/hyperlink" Target="https://www.icrc.org/eng/resources/documents/publication/p1103.htm" TargetMode="External"/><Relationship Id="rId6" Type="http://schemas.openxmlformats.org/officeDocument/2006/relationships/hyperlink" Target="https://www.icrc.org/eng/resources/documents/resolution/council-of-delegates-resolutions-181105.htm" TargetMode="External"/><Relationship Id="rId7" Type="http://schemas.openxmlformats.org/officeDocument/2006/relationships/hyperlink" Target="https://www.icrc.org/eng/assets/files/other/30ic_8-3_customaryihl_report_final_eng.pdf" TargetMode="External"/><Relationship Id="rId8" Type="http://schemas.openxmlformats.org/officeDocument/2006/relationships/hyperlink" Target="https://www.icrc.org/eng/resources/documents/resolution/30-international-conference-resolution-1-2007.htm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