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4D3" w:rsidRDefault="005924D3">
      <w:pPr>
        <w:jc w:val="center"/>
      </w:pPr>
      <w:bookmarkStart w:id="0" w:name="_gjdgxs" w:colFirst="0" w:colLast="0"/>
      <w:bookmarkEnd w:id="0"/>
    </w:p>
    <w:p w:rsidR="005924D3" w:rsidRDefault="005924D3">
      <w:pPr>
        <w:rPr>
          <w:rFonts w:ascii="Arial" w:eastAsia="Arial" w:hAnsi="Arial" w:cs="Arial"/>
          <w:sz w:val="22"/>
          <w:szCs w:val="22"/>
        </w:rPr>
      </w:pPr>
    </w:p>
    <w:tbl>
      <w:tblPr>
        <w:tblStyle w:val="a5"/>
        <w:tblW w:w="2627" w:type="dxa"/>
        <w:tblInd w:w="0" w:type="dxa"/>
        <w:tblLayout w:type="fixed"/>
        <w:tblLook w:val="0000" w:firstRow="0" w:lastRow="0" w:firstColumn="0" w:lastColumn="0" w:noHBand="0" w:noVBand="0"/>
      </w:tblPr>
      <w:tblGrid>
        <w:gridCol w:w="2627"/>
      </w:tblGrid>
      <w:tr w:rsidR="005924D3">
        <w:trPr>
          <w:trHeight w:val="240"/>
        </w:trPr>
        <w:tc>
          <w:tcPr>
            <w:tcW w:w="2627" w:type="dxa"/>
          </w:tcPr>
          <w:p w:rsidR="005924D3" w:rsidRDefault="005924D3">
            <w:pPr>
              <w:jc w:val="right"/>
              <w:rPr>
                <w:rFonts w:ascii="Arial" w:eastAsia="Arial" w:hAnsi="Arial" w:cs="Arial"/>
                <w:b/>
              </w:rPr>
            </w:pPr>
          </w:p>
          <w:p w:rsidR="005924D3" w:rsidRDefault="0088602A">
            <w:pPr>
              <w:jc w:val="right"/>
              <w:rPr>
                <w:rFonts w:ascii="Arial" w:eastAsia="Arial" w:hAnsi="Arial" w:cs="Arial"/>
                <w:b/>
              </w:rPr>
            </w:pPr>
            <w:r>
              <w:rPr>
                <w:rFonts w:ascii="Arial" w:eastAsia="Arial" w:hAnsi="Arial" w:cs="Arial"/>
                <w:b/>
              </w:rPr>
              <w:t>CD/17/10.2</w:t>
            </w:r>
          </w:p>
        </w:tc>
      </w:tr>
      <w:tr w:rsidR="005924D3" w:rsidRPr="00B57C96">
        <w:trPr>
          <w:trHeight w:val="240"/>
        </w:trPr>
        <w:tc>
          <w:tcPr>
            <w:tcW w:w="2627" w:type="dxa"/>
          </w:tcPr>
          <w:p w:rsidR="005924D3" w:rsidRPr="00B57C96" w:rsidRDefault="0088602A">
            <w:pPr>
              <w:jc w:val="right"/>
              <w:rPr>
                <w:rFonts w:ascii="Arial" w:eastAsia="Arial" w:hAnsi="Arial" w:cs="Arial"/>
                <w:b/>
                <w:lang w:val="ru-RU"/>
              </w:rPr>
            </w:pPr>
            <w:r w:rsidRPr="00B57C96">
              <w:rPr>
                <w:rFonts w:ascii="Arial" w:eastAsia="Arial" w:hAnsi="Arial" w:cs="Arial"/>
                <w:b/>
                <w:lang w:val="ru-RU"/>
              </w:rPr>
              <w:t>Оригинал: на английском языке</w:t>
            </w:r>
          </w:p>
          <w:p w:rsidR="005924D3" w:rsidRPr="00B57C96" w:rsidRDefault="0088602A">
            <w:pPr>
              <w:jc w:val="right"/>
              <w:rPr>
                <w:rFonts w:ascii="Arial" w:eastAsia="Arial" w:hAnsi="Arial" w:cs="Arial"/>
                <w:b/>
                <w:lang w:val="ru-RU"/>
              </w:rPr>
            </w:pPr>
            <w:r w:rsidRPr="00B57C96">
              <w:rPr>
                <w:rFonts w:ascii="Arial" w:eastAsia="Arial" w:hAnsi="Arial" w:cs="Arial"/>
                <w:b/>
                <w:lang w:val="ru-RU"/>
              </w:rPr>
              <w:t>Для информации</w:t>
            </w:r>
          </w:p>
        </w:tc>
      </w:tr>
    </w:tbl>
    <w:p w:rsidR="005924D3" w:rsidRPr="00B57C96" w:rsidRDefault="005924D3">
      <w:pPr>
        <w:rPr>
          <w:rFonts w:ascii="Arial" w:eastAsia="Arial" w:hAnsi="Arial" w:cs="Arial"/>
          <w:sz w:val="22"/>
          <w:szCs w:val="22"/>
          <w:lang w:val="ru-RU"/>
        </w:rPr>
      </w:pPr>
    </w:p>
    <w:p w:rsidR="005924D3" w:rsidRPr="00B57C96" w:rsidRDefault="005924D3">
      <w:pPr>
        <w:rPr>
          <w:rFonts w:ascii="Arial" w:eastAsia="Arial" w:hAnsi="Arial" w:cs="Arial"/>
          <w:sz w:val="22"/>
          <w:szCs w:val="22"/>
          <w:lang w:val="ru-RU"/>
        </w:rPr>
      </w:pPr>
    </w:p>
    <w:p w:rsidR="005924D3" w:rsidRPr="00B57C96" w:rsidRDefault="005924D3">
      <w:pPr>
        <w:rPr>
          <w:rFonts w:ascii="Arial" w:eastAsia="Arial" w:hAnsi="Arial" w:cs="Arial"/>
          <w:sz w:val="22"/>
          <w:szCs w:val="22"/>
          <w:lang w:val="ru-RU"/>
        </w:rPr>
      </w:pPr>
    </w:p>
    <w:p w:rsidR="005924D3" w:rsidRPr="00B57C96" w:rsidRDefault="005924D3">
      <w:pPr>
        <w:rPr>
          <w:rFonts w:ascii="Arial" w:eastAsia="Arial" w:hAnsi="Arial" w:cs="Arial"/>
          <w:sz w:val="22"/>
          <w:szCs w:val="22"/>
          <w:lang w:val="ru-RU"/>
        </w:rPr>
      </w:pPr>
    </w:p>
    <w:p w:rsidR="005924D3" w:rsidRPr="00B57C96" w:rsidRDefault="005924D3">
      <w:pPr>
        <w:rPr>
          <w:rFonts w:ascii="Arial" w:eastAsia="Arial" w:hAnsi="Arial" w:cs="Arial"/>
          <w:sz w:val="22"/>
          <w:szCs w:val="22"/>
          <w:lang w:val="ru-RU"/>
        </w:rPr>
      </w:pPr>
    </w:p>
    <w:p w:rsidR="005924D3" w:rsidRPr="00B57C96" w:rsidRDefault="005924D3">
      <w:pPr>
        <w:rPr>
          <w:rFonts w:ascii="Arial" w:eastAsia="Arial" w:hAnsi="Arial" w:cs="Arial"/>
          <w:sz w:val="22"/>
          <w:szCs w:val="22"/>
          <w:lang w:val="ru-RU"/>
        </w:rPr>
      </w:pPr>
    </w:p>
    <w:p w:rsidR="005924D3" w:rsidRPr="00B57C96" w:rsidRDefault="0088602A">
      <w:pPr>
        <w:jc w:val="center"/>
        <w:rPr>
          <w:rFonts w:ascii="Arial" w:eastAsia="Arial" w:hAnsi="Arial" w:cs="Arial"/>
          <w:b/>
          <w:sz w:val="28"/>
          <w:szCs w:val="28"/>
          <w:lang w:val="ru-RU"/>
        </w:rPr>
      </w:pPr>
      <w:r w:rsidRPr="00B57C96">
        <w:rPr>
          <w:rFonts w:ascii="Arial" w:eastAsia="Arial" w:hAnsi="Arial" w:cs="Arial"/>
          <w:b/>
          <w:sz w:val="28"/>
          <w:szCs w:val="28"/>
          <w:lang w:val="ru-RU"/>
        </w:rPr>
        <w:t>СОВЕТ ДЕЛЕГАТОВ</w:t>
      </w:r>
    </w:p>
    <w:p w:rsidR="005924D3" w:rsidRPr="00B57C96" w:rsidRDefault="005924D3">
      <w:pPr>
        <w:jc w:val="center"/>
        <w:rPr>
          <w:rFonts w:ascii="Arial" w:eastAsia="Arial" w:hAnsi="Arial" w:cs="Arial"/>
          <w:b/>
          <w:sz w:val="28"/>
          <w:szCs w:val="28"/>
          <w:lang w:val="ru-RU"/>
        </w:rPr>
      </w:pPr>
    </w:p>
    <w:p w:rsidR="005924D3" w:rsidRPr="00B57C96" w:rsidRDefault="0088602A">
      <w:pPr>
        <w:jc w:val="center"/>
        <w:rPr>
          <w:rFonts w:ascii="Arial" w:eastAsia="Arial" w:hAnsi="Arial" w:cs="Arial"/>
          <w:b/>
          <w:sz w:val="28"/>
          <w:szCs w:val="28"/>
          <w:lang w:val="ru-RU"/>
        </w:rPr>
      </w:pPr>
      <w:r w:rsidRPr="00B57C96">
        <w:rPr>
          <w:rFonts w:ascii="Arial" w:eastAsia="Arial" w:hAnsi="Arial" w:cs="Arial"/>
          <w:b/>
          <w:sz w:val="28"/>
          <w:szCs w:val="28"/>
          <w:lang w:val="ru-RU"/>
        </w:rPr>
        <w:t>МЕЖДУНАРОДНОГО ДВИЖЕНИЯ КРАСНОГО КРЕСТА И КРАСНОГО ПОЛУМЕСЯЦА</w:t>
      </w:r>
    </w:p>
    <w:p w:rsidR="005924D3" w:rsidRPr="00B57C96" w:rsidRDefault="005924D3">
      <w:pPr>
        <w:jc w:val="center"/>
        <w:rPr>
          <w:rFonts w:ascii="Arial" w:eastAsia="Arial" w:hAnsi="Arial" w:cs="Arial"/>
          <w:b/>
          <w:lang w:val="ru-RU"/>
        </w:rPr>
      </w:pPr>
    </w:p>
    <w:p w:rsidR="005924D3" w:rsidRPr="00B57C96" w:rsidRDefault="005924D3">
      <w:pPr>
        <w:jc w:val="center"/>
        <w:rPr>
          <w:rFonts w:ascii="Arial" w:eastAsia="Arial" w:hAnsi="Arial" w:cs="Arial"/>
          <w:b/>
          <w:lang w:val="ru-RU"/>
        </w:rPr>
      </w:pPr>
    </w:p>
    <w:p w:rsidR="005924D3" w:rsidRPr="00B57C96" w:rsidRDefault="0088602A">
      <w:pPr>
        <w:jc w:val="center"/>
        <w:rPr>
          <w:rFonts w:ascii="Arial" w:eastAsia="Arial" w:hAnsi="Arial" w:cs="Arial"/>
          <w:lang w:val="ru-RU"/>
        </w:rPr>
      </w:pPr>
      <w:r w:rsidRPr="00B57C96">
        <w:rPr>
          <w:rFonts w:ascii="Arial" w:eastAsia="Arial" w:hAnsi="Arial" w:cs="Arial"/>
          <w:lang w:val="ru-RU"/>
        </w:rPr>
        <w:t>Анталья, Турция</w:t>
      </w:r>
    </w:p>
    <w:p w:rsidR="005924D3" w:rsidRPr="00B57C96" w:rsidRDefault="0088602A">
      <w:pPr>
        <w:jc w:val="center"/>
        <w:rPr>
          <w:rFonts w:ascii="Arial" w:eastAsia="Arial" w:hAnsi="Arial" w:cs="Arial"/>
          <w:lang w:val="ru-RU"/>
        </w:rPr>
      </w:pPr>
      <w:r w:rsidRPr="00B57C96">
        <w:rPr>
          <w:rFonts w:ascii="Arial" w:eastAsia="Arial" w:hAnsi="Arial" w:cs="Arial"/>
          <w:lang w:val="ru-RU"/>
        </w:rPr>
        <w:t>10–11 ноября 2017 года</w:t>
      </w:r>
    </w:p>
    <w:p w:rsidR="005924D3" w:rsidRPr="00B57C96" w:rsidRDefault="005924D3">
      <w:pPr>
        <w:rPr>
          <w:rFonts w:ascii="Arial" w:eastAsia="Arial" w:hAnsi="Arial" w:cs="Arial"/>
          <w:sz w:val="22"/>
          <w:szCs w:val="22"/>
          <w:lang w:val="ru-RU"/>
        </w:rPr>
      </w:pPr>
    </w:p>
    <w:p w:rsidR="005924D3" w:rsidRPr="00B57C96" w:rsidRDefault="005924D3">
      <w:pPr>
        <w:rPr>
          <w:rFonts w:ascii="Arial" w:eastAsia="Arial" w:hAnsi="Arial" w:cs="Arial"/>
          <w:sz w:val="22"/>
          <w:szCs w:val="22"/>
          <w:lang w:val="ru-RU"/>
        </w:rPr>
      </w:pPr>
    </w:p>
    <w:p w:rsidR="005924D3" w:rsidRPr="00B57C96" w:rsidRDefault="005924D3">
      <w:pPr>
        <w:rPr>
          <w:rFonts w:ascii="Arial" w:eastAsia="Arial" w:hAnsi="Arial" w:cs="Arial"/>
          <w:sz w:val="22"/>
          <w:szCs w:val="22"/>
          <w:lang w:val="ru-RU"/>
        </w:rPr>
      </w:pPr>
    </w:p>
    <w:p w:rsidR="005924D3" w:rsidRPr="00B57C96" w:rsidRDefault="0088602A">
      <w:pPr>
        <w:jc w:val="center"/>
        <w:rPr>
          <w:rFonts w:ascii="Arial" w:eastAsia="Arial" w:hAnsi="Arial" w:cs="Arial"/>
          <w:b/>
          <w:sz w:val="28"/>
          <w:szCs w:val="28"/>
          <w:lang w:val="ru-RU"/>
        </w:rPr>
      </w:pPr>
      <w:r w:rsidRPr="00B57C96">
        <w:rPr>
          <w:rFonts w:ascii="Arial" w:eastAsia="Arial" w:hAnsi="Arial" w:cs="Arial"/>
          <w:b/>
          <w:sz w:val="28"/>
          <w:szCs w:val="28"/>
          <w:lang w:val="ru-RU"/>
        </w:rPr>
        <w:t>Разработка подхода Международного Движения Красного Креста и Красного Полумесяца к работе с эпидемиями и пандемиями</w:t>
      </w:r>
    </w:p>
    <w:p w:rsidR="005924D3" w:rsidRPr="00B57C96" w:rsidRDefault="005924D3">
      <w:pPr>
        <w:jc w:val="center"/>
        <w:rPr>
          <w:smallCaps/>
          <w:lang w:val="ru-RU"/>
        </w:rPr>
      </w:pPr>
    </w:p>
    <w:p w:rsidR="005924D3" w:rsidRPr="00B57C96" w:rsidRDefault="005924D3">
      <w:pPr>
        <w:jc w:val="center"/>
        <w:rPr>
          <w:smallCaps/>
          <w:lang w:val="ru-RU"/>
        </w:rPr>
      </w:pPr>
    </w:p>
    <w:p w:rsidR="005924D3" w:rsidRPr="00B57C96" w:rsidRDefault="005924D3">
      <w:pPr>
        <w:jc w:val="center"/>
        <w:rPr>
          <w:smallCaps/>
          <w:lang w:val="ru-RU"/>
        </w:rPr>
      </w:pPr>
    </w:p>
    <w:p w:rsidR="005924D3" w:rsidRPr="00B57C96" w:rsidRDefault="005924D3">
      <w:pPr>
        <w:jc w:val="center"/>
        <w:rPr>
          <w:rFonts w:ascii="Arial" w:eastAsia="Arial" w:hAnsi="Arial" w:cs="Arial"/>
          <w:smallCaps/>
          <w:lang w:val="ru-RU"/>
        </w:rPr>
      </w:pPr>
    </w:p>
    <w:p w:rsidR="005924D3" w:rsidRPr="00B57C96" w:rsidRDefault="0088602A">
      <w:pPr>
        <w:jc w:val="center"/>
        <w:rPr>
          <w:rFonts w:ascii="Arial" w:eastAsia="Arial" w:hAnsi="Arial" w:cs="Arial"/>
          <w:b/>
          <w:smallCaps/>
          <w:lang w:val="ru-RU"/>
        </w:rPr>
      </w:pPr>
      <w:r w:rsidRPr="00B57C96">
        <w:rPr>
          <w:rFonts w:ascii="Arial" w:eastAsia="Arial" w:hAnsi="Arial" w:cs="Arial"/>
          <w:b/>
          <w:smallCaps/>
          <w:lang w:val="ru-RU"/>
        </w:rPr>
        <w:t>СПРАВОЧНЫЙ ДОКЛАД</w:t>
      </w:r>
    </w:p>
    <w:p w:rsidR="005924D3" w:rsidRPr="00B57C96" w:rsidRDefault="005924D3">
      <w:pPr>
        <w:jc w:val="both"/>
        <w:rPr>
          <w:rFonts w:ascii="Arial" w:eastAsia="Arial" w:hAnsi="Arial" w:cs="Arial"/>
          <w:i/>
          <w:sz w:val="22"/>
          <w:szCs w:val="22"/>
          <w:highlight w:val="yellow"/>
          <w:lang w:val="ru-RU"/>
        </w:rPr>
      </w:pPr>
    </w:p>
    <w:p w:rsidR="005924D3" w:rsidRPr="00B57C96" w:rsidRDefault="005924D3">
      <w:pPr>
        <w:jc w:val="both"/>
        <w:rPr>
          <w:rFonts w:ascii="Arial" w:eastAsia="Arial" w:hAnsi="Arial" w:cs="Arial"/>
          <w:i/>
          <w:sz w:val="22"/>
          <w:szCs w:val="22"/>
          <w:highlight w:val="yellow"/>
          <w:lang w:val="ru-RU"/>
        </w:rPr>
      </w:pPr>
    </w:p>
    <w:p w:rsidR="005924D3" w:rsidRPr="00B57C96" w:rsidRDefault="005924D3">
      <w:pPr>
        <w:rPr>
          <w:rFonts w:ascii="Arial" w:eastAsia="Arial" w:hAnsi="Arial" w:cs="Arial"/>
          <w:sz w:val="22"/>
          <w:szCs w:val="22"/>
          <w:lang w:val="ru-RU"/>
        </w:rPr>
      </w:pPr>
    </w:p>
    <w:p w:rsidR="005924D3" w:rsidRPr="00B57C96" w:rsidRDefault="0088602A">
      <w:pPr>
        <w:jc w:val="center"/>
        <w:rPr>
          <w:rFonts w:ascii="Arial" w:eastAsia="Arial" w:hAnsi="Arial" w:cs="Arial"/>
          <w:b/>
          <w:sz w:val="22"/>
          <w:szCs w:val="22"/>
          <w:lang w:val="ru-RU"/>
        </w:rPr>
      </w:pPr>
      <w:r w:rsidRPr="00B57C96">
        <w:rPr>
          <w:rFonts w:ascii="Arial" w:eastAsia="Arial" w:hAnsi="Arial" w:cs="Arial"/>
          <w:b/>
          <w:sz w:val="22"/>
          <w:szCs w:val="22"/>
          <w:lang w:val="ru-RU"/>
        </w:rPr>
        <w:t>Документ подготовлен Международной Федерацией Обществ Красного Креста и Красного Полумесяца</w:t>
      </w:r>
    </w:p>
    <w:p w:rsidR="005924D3" w:rsidRPr="00B57C96" w:rsidRDefault="005924D3">
      <w:pPr>
        <w:rPr>
          <w:rFonts w:ascii="Arial" w:eastAsia="Arial" w:hAnsi="Arial" w:cs="Arial"/>
          <w:sz w:val="22"/>
          <w:szCs w:val="22"/>
          <w:lang w:val="ru-RU"/>
        </w:rPr>
      </w:pPr>
    </w:p>
    <w:p w:rsidR="005924D3" w:rsidRPr="00B57C96" w:rsidRDefault="005924D3">
      <w:pPr>
        <w:rPr>
          <w:rFonts w:ascii="Arial" w:eastAsia="Arial" w:hAnsi="Arial" w:cs="Arial"/>
          <w:sz w:val="22"/>
          <w:szCs w:val="22"/>
          <w:lang w:val="ru-RU"/>
        </w:rPr>
      </w:pPr>
    </w:p>
    <w:p w:rsidR="005924D3" w:rsidRPr="00B57C96" w:rsidRDefault="005924D3">
      <w:pPr>
        <w:rPr>
          <w:rFonts w:ascii="Arial" w:eastAsia="Arial" w:hAnsi="Arial" w:cs="Arial"/>
          <w:sz w:val="22"/>
          <w:szCs w:val="22"/>
          <w:lang w:val="ru-RU"/>
        </w:rPr>
      </w:pPr>
    </w:p>
    <w:p w:rsidR="005924D3" w:rsidRPr="00B57C96" w:rsidRDefault="0088602A">
      <w:pPr>
        <w:jc w:val="center"/>
        <w:rPr>
          <w:rFonts w:ascii="Arial" w:eastAsia="Arial" w:hAnsi="Arial" w:cs="Arial"/>
          <w:sz w:val="22"/>
          <w:szCs w:val="22"/>
          <w:lang w:val="ru-RU"/>
        </w:rPr>
      </w:pPr>
      <w:r w:rsidRPr="00B57C96">
        <w:rPr>
          <w:rFonts w:ascii="Arial" w:eastAsia="Arial" w:hAnsi="Arial" w:cs="Arial"/>
          <w:sz w:val="22"/>
          <w:szCs w:val="22"/>
          <w:lang w:val="ru-RU"/>
        </w:rPr>
        <w:t>Женева, сентябрь 2017 г.</w:t>
      </w:r>
    </w:p>
    <w:p w:rsidR="005924D3" w:rsidRPr="00B57C96" w:rsidRDefault="005924D3">
      <w:pPr>
        <w:rPr>
          <w:rFonts w:ascii="Arial" w:eastAsia="Arial" w:hAnsi="Arial" w:cs="Arial"/>
          <w:sz w:val="22"/>
          <w:szCs w:val="22"/>
          <w:lang w:val="ru-RU"/>
        </w:rPr>
      </w:pPr>
    </w:p>
    <w:p w:rsidR="005924D3" w:rsidRPr="00B57C96" w:rsidRDefault="0088602A">
      <w:pPr>
        <w:widowControl w:val="0"/>
        <w:spacing w:line="276" w:lineRule="auto"/>
        <w:rPr>
          <w:rFonts w:ascii="Arial" w:eastAsia="Arial" w:hAnsi="Arial" w:cs="Arial"/>
          <w:sz w:val="22"/>
          <w:szCs w:val="22"/>
          <w:lang w:val="ru-RU"/>
        </w:rPr>
        <w:sectPr w:rsidR="005924D3" w:rsidRPr="00B57C9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720" w:gutter="0"/>
          <w:pgNumType w:start="1"/>
          <w:cols w:space="720"/>
          <w:titlePg/>
        </w:sectPr>
      </w:pPr>
      <w:r w:rsidRPr="00B57C96">
        <w:rPr>
          <w:lang w:val="ru-RU"/>
        </w:rPr>
        <w:br w:type="page"/>
      </w:r>
    </w:p>
    <w:p w:rsidR="005924D3" w:rsidRPr="00B57C96" w:rsidRDefault="0088602A">
      <w:pPr>
        <w:pStyle w:val="3"/>
        <w:spacing w:before="0"/>
        <w:jc w:val="both"/>
        <w:rPr>
          <w:rFonts w:ascii="Arial" w:eastAsia="Arial" w:hAnsi="Arial" w:cs="Arial"/>
          <w:color w:val="000000"/>
          <w:lang w:val="ru-RU"/>
        </w:rPr>
      </w:pPr>
      <w:r w:rsidRPr="00B57C96">
        <w:rPr>
          <w:rFonts w:ascii="Arial" w:eastAsia="Arial" w:hAnsi="Arial" w:cs="Arial"/>
          <w:color w:val="000000"/>
          <w:lang w:val="ru-RU"/>
        </w:rPr>
        <w:lastRenderedPageBreak/>
        <w:t>КРАТКИЙ ОБЗОР</w:t>
      </w:r>
    </w:p>
    <w:p w:rsidR="005924D3" w:rsidRPr="00B57C96" w:rsidRDefault="005924D3">
      <w:pPr>
        <w:jc w:val="both"/>
        <w:rPr>
          <w:rFonts w:ascii="Arial" w:eastAsia="Arial" w:hAnsi="Arial" w:cs="Arial"/>
          <w:sz w:val="22"/>
          <w:szCs w:val="22"/>
          <w:lang w:val="ru-RU"/>
        </w:rPr>
      </w:pPr>
    </w:p>
    <w:p w:rsidR="005924D3" w:rsidRPr="00B57C96" w:rsidRDefault="0088602A">
      <w:pPr>
        <w:jc w:val="both"/>
        <w:rPr>
          <w:rFonts w:ascii="Arial" w:eastAsia="Arial" w:hAnsi="Arial" w:cs="Arial"/>
          <w:sz w:val="22"/>
          <w:szCs w:val="22"/>
          <w:lang w:val="ru-RU"/>
        </w:rPr>
      </w:pPr>
      <w:r w:rsidRPr="00B57C96">
        <w:rPr>
          <w:rFonts w:ascii="Arial" w:eastAsia="Arial" w:hAnsi="Arial" w:cs="Arial"/>
          <w:sz w:val="22"/>
          <w:szCs w:val="22"/>
          <w:lang w:val="ru-RU"/>
        </w:rPr>
        <w:t>Спустя десять лет после принятия обязательства, включённого в Резолюцию 1 30-й Международной Конференции Красного Креста и Красного Полумесяца, “укреплять системы здравоохранения и разрабатывать национальные планы здравоохранения с участием национальных обществ, а также включать расширение полномочий добровольцев и пострадавших групп”, на Совете Делегатов у нас будет возможность пересмотреть роли участников Движения в мероприятиях по реагированию на непрекращающуюся угрозу, которую представляют инфекционные заболевания, как уже имеющиеся, так и вновь возникающие.</w:t>
      </w:r>
    </w:p>
    <w:p w:rsidR="005924D3" w:rsidRPr="00B57C96" w:rsidRDefault="005924D3">
      <w:pPr>
        <w:jc w:val="both"/>
        <w:rPr>
          <w:rFonts w:ascii="Arial" w:eastAsia="Arial" w:hAnsi="Arial" w:cs="Arial"/>
          <w:sz w:val="22"/>
          <w:szCs w:val="22"/>
          <w:lang w:val="ru-RU"/>
        </w:rPr>
      </w:pPr>
    </w:p>
    <w:p w:rsidR="005924D3" w:rsidRPr="00B57C96" w:rsidRDefault="0088602A">
      <w:pPr>
        <w:jc w:val="both"/>
        <w:rPr>
          <w:rFonts w:ascii="Arial" w:eastAsia="Arial" w:hAnsi="Arial" w:cs="Arial"/>
          <w:sz w:val="22"/>
          <w:szCs w:val="22"/>
          <w:lang w:val="ru-RU"/>
        </w:rPr>
      </w:pPr>
      <w:r w:rsidRPr="00B57C96">
        <w:rPr>
          <w:rFonts w:ascii="Arial" w:eastAsia="Arial" w:hAnsi="Arial" w:cs="Arial"/>
          <w:sz w:val="22"/>
          <w:szCs w:val="22"/>
          <w:lang w:val="ru-RU"/>
        </w:rPr>
        <w:t>В резолюции, следовательно, предлагается разработать план действий, где будет описано, как Движение будет работать с правительствами и сообществами для повышения уровня национальной готовности и более эффективного реагирования на эпидемии и пандемии</w:t>
      </w:r>
      <w:r w:rsidR="00B57C96">
        <w:rPr>
          <w:rFonts w:ascii="Arial" w:eastAsia="Arial" w:hAnsi="Arial" w:cs="Arial"/>
          <w:sz w:val="22"/>
          <w:szCs w:val="22"/>
          <w:lang w:val="ru-RU"/>
        </w:rPr>
        <w:t>,</w:t>
      </w:r>
      <w:r w:rsidRPr="00B57C96">
        <w:rPr>
          <w:rFonts w:ascii="Arial" w:eastAsia="Arial" w:hAnsi="Arial" w:cs="Arial"/>
          <w:sz w:val="22"/>
          <w:szCs w:val="22"/>
          <w:lang w:val="ru-RU"/>
        </w:rPr>
        <w:t xml:space="preserve"> и как оно будет поддерживать усилия госу</w:t>
      </w:r>
      <w:r w:rsidR="00B57C96">
        <w:rPr>
          <w:rFonts w:ascii="Arial" w:eastAsia="Arial" w:hAnsi="Arial" w:cs="Arial"/>
          <w:sz w:val="22"/>
          <w:szCs w:val="22"/>
          <w:lang w:val="ru-RU"/>
        </w:rPr>
        <w:t>дарств, нацеленные на укрепление</w:t>
      </w:r>
      <w:r w:rsidRPr="00B57C96">
        <w:rPr>
          <w:rFonts w:ascii="Arial" w:eastAsia="Arial" w:hAnsi="Arial" w:cs="Arial"/>
          <w:sz w:val="22"/>
          <w:szCs w:val="22"/>
          <w:lang w:val="ru-RU"/>
        </w:rPr>
        <w:t xml:space="preserve"> основного потенциала в соответствии с Международными медико-санитарными правилами, где они применимы.  </w:t>
      </w:r>
      <w:r w:rsidR="00B57C96">
        <w:rPr>
          <w:rFonts w:ascii="Arial" w:eastAsia="Arial" w:hAnsi="Arial" w:cs="Arial"/>
          <w:sz w:val="22"/>
          <w:szCs w:val="22"/>
          <w:lang w:val="ru-RU"/>
        </w:rPr>
        <w:t>Он</w:t>
      </w:r>
      <w:r w:rsidRPr="00B57C96">
        <w:rPr>
          <w:rFonts w:ascii="Arial" w:eastAsia="Arial" w:hAnsi="Arial" w:cs="Arial"/>
          <w:sz w:val="22"/>
          <w:szCs w:val="22"/>
          <w:lang w:val="ru-RU"/>
        </w:rPr>
        <w:t xml:space="preserve"> будет </w:t>
      </w:r>
      <w:r w:rsidR="00B57C96">
        <w:rPr>
          <w:rFonts w:ascii="Arial" w:eastAsia="Arial" w:hAnsi="Arial" w:cs="Arial"/>
          <w:sz w:val="22"/>
          <w:szCs w:val="22"/>
          <w:lang w:val="ru-RU"/>
        </w:rPr>
        <w:t>будет использован при принятии</w:t>
      </w:r>
      <w:r w:rsidRPr="00B57C96">
        <w:rPr>
          <w:rFonts w:ascii="Arial" w:eastAsia="Arial" w:hAnsi="Arial" w:cs="Arial"/>
          <w:sz w:val="22"/>
          <w:szCs w:val="22"/>
          <w:lang w:val="ru-RU"/>
        </w:rPr>
        <w:t xml:space="preserve"> подхода Движения к предотвращению эпидемий и пандемий и их контролированию на 33-й Международной конференции в 2019 г.</w:t>
      </w:r>
    </w:p>
    <w:p w:rsidR="005924D3" w:rsidRPr="00B57C96" w:rsidRDefault="005924D3">
      <w:pPr>
        <w:jc w:val="both"/>
        <w:rPr>
          <w:rFonts w:ascii="Arial" w:eastAsia="Arial" w:hAnsi="Arial" w:cs="Arial"/>
          <w:b/>
          <w:smallCaps/>
          <w:sz w:val="22"/>
          <w:szCs w:val="22"/>
          <w:u w:val="single"/>
          <w:lang w:val="ru-RU"/>
        </w:rPr>
      </w:pPr>
    </w:p>
    <w:p w:rsidR="005924D3" w:rsidRDefault="0088602A">
      <w:pPr>
        <w:numPr>
          <w:ilvl w:val="0"/>
          <w:numId w:val="1"/>
        </w:numPr>
        <w:spacing w:line="360" w:lineRule="auto"/>
        <w:ind w:left="426" w:hanging="426"/>
        <w:contextualSpacing/>
        <w:jc w:val="both"/>
        <w:rPr>
          <w:rFonts w:ascii="Arial" w:eastAsia="Arial" w:hAnsi="Arial" w:cs="Arial"/>
        </w:rPr>
      </w:pPr>
      <w:r>
        <w:rPr>
          <w:rFonts w:ascii="Arial" w:eastAsia="Arial" w:hAnsi="Arial" w:cs="Arial"/>
          <w:b/>
        </w:rPr>
        <w:t>Введение</w:t>
      </w:r>
    </w:p>
    <w:p w:rsidR="005924D3" w:rsidRPr="00B57C96" w:rsidRDefault="0088602A">
      <w:pPr>
        <w:jc w:val="both"/>
        <w:rPr>
          <w:rFonts w:ascii="Arial" w:eastAsia="Arial" w:hAnsi="Arial" w:cs="Arial"/>
          <w:sz w:val="22"/>
          <w:szCs w:val="22"/>
          <w:lang w:val="ru-RU"/>
        </w:rPr>
      </w:pPr>
      <w:r w:rsidRPr="00B57C96">
        <w:rPr>
          <w:rFonts w:ascii="Arial" w:eastAsia="Arial" w:hAnsi="Arial" w:cs="Arial"/>
          <w:sz w:val="22"/>
          <w:szCs w:val="22"/>
          <w:lang w:val="ru-RU"/>
        </w:rPr>
        <w:t>Вспышка лихорадки Эбола в Западной Африке - это лишь одна из нескольких эпидемий, произошедших в 21-м веке, которые имели катастрофический потенциал.  Среди них можно назвать четыре серьёзные вспышки Ближневосточного респираторного синдрома (</w:t>
      </w:r>
      <w:r>
        <w:rPr>
          <w:rFonts w:ascii="Arial" w:eastAsia="Arial" w:hAnsi="Arial" w:cs="Arial"/>
          <w:sz w:val="22"/>
          <w:szCs w:val="22"/>
        </w:rPr>
        <w:t>MERS</w:t>
      </w:r>
      <w:r w:rsidRPr="00B57C96">
        <w:rPr>
          <w:rFonts w:ascii="Arial" w:eastAsia="Arial" w:hAnsi="Arial" w:cs="Arial"/>
          <w:sz w:val="22"/>
          <w:szCs w:val="22"/>
          <w:lang w:val="ru-RU"/>
        </w:rPr>
        <w:t xml:space="preserve">) в Саудовской Аравии и в Республике Корея, пандемии гриппа </w:t>
      </w:r>
      <w:r>
        <w:rPr>
          <w:rFonts w:ascii="Arial" w:eastAsia="Arial" w:hAnsi="Arial" w:cs="Arial"/>
          <w:sz w:val="22"/>
          <w:szCs w:val="22"/>
        </w:rPr>
        <w:t>H</w:t>
      </w:r>
      <w:r w:rsidRPr="00B57C96">
        <w:rPr>
          <w:rFonts w:ascii="Arial" w:eastAsia="Arial" w:hAnsi="Arial" w:cs="Arial"/>
          <w:sz w:val="22"/>
          <w:szCs w:val="22"/>
          <w:lang w:val="ru-RU"/>
        </w:rPr>
        <w:t>1</w:t>
      </w:r>
      <w:r>
        <w:rPr>
          <w:rFonts w:ascii="Arial" w:eastAsia="Arial" w:hAnsi="Arial" w:cs="Arial"/>
          <w:sz w:val="22"/>
          <w:szCs w:val="22"/>
        </w:rPr>
        <w:t>N</w:t>
      </w:r>
      <w:r w:rsidRPr="00B57C96">
        <w:rPr>
          <w:rFonts w:ascii="Arial" w:eastAsia="Arial" w:hAnsi="Arial" w:cs="Arial"/>
          <w:sz w:val="22"/>
          <w:szCs w:val="22"/>
          <w:lang w:val="ru-RU"/>
        </w:rPr>
        <w:t xml:space="preserve">1 и </w:t>
      </w:r>
      <w:r>
        <w:rPr>
          <w:rFonts w:ascii="Arial" w:eastAsia="Arial" w:hAnsi="Arial" w:cs="Arial"/>
          <w:sz w:val="22"/>
          <w:szCs w:val="22"/>
        </w:rPr>
        <w:t>H</w:t>
      </w:r>
      <w:r w:rsidRPr="00B57C96">
        <w:rPr>
          <w:rFonts w:ascii="Arial" w:eastAsia="Arial" w:hAnsi="Arial" w:cs="Arial"/>
          <w:sz w:val="22"/>
          <w:szCs w:val="22"/>
          <w:lang w:val="ru-RU"/>
        </w:rPr>
        <w:t>5</w:t>
      </w:r>
      <w:r>
        <w:rPr>
          <w:rFonts w:ascii="Arial" w:eastAsia="Arial" w:hAnsi="Arial" w:cs="Arial"/>
          <w:sz w:val="22"/>
          <w:szCs w:val="22"/>
        </w:rPr>
        <w:t>N</w:t>
      </w:r>
      <w:r w:rsidRPr="00B57C96">
        <w:rPr>
          <w:rFonts w:ascii="Arial" w:eastAsia="Arial" w:hAnsi="Arial" w:cs="Arial"/>
          <w:sz w:val="22"/>
          <w:szCs w:val="22"/>
          <w:lang w:val="ru-RU"/>
        </w:rPr>
        <w:t>1 и Синдрома атипичной пневмонии (</w:t>
      </w:r>
      <w:r>
        <w:rPr>
          <w:rFonts w:ascii="Arial" w:eastAsia="Arial" w:hAnsi="Arial" w:cs="Arial"/>
          <w:sz w:val="22"/>
          <w:szCs w:val="22"/>
        </w:rPr>
        <w:t>SARS</w:t>
      </w:r>
      <w:r w:rsidRPr="00B57C96">
        <w:rPr>
          <w:rFonts w:ascii="Arial" w:eastAsia="Arial" w:hAnsi="Arial" w:cs="Arial"/>
          <w:sz w:val="22"/>
          <w:szCs w:val="22"/>
          <w:lang w:val="ru-RU"/>
        </w:rPr>
        <w:t xml:space="preserve">).  В дополнение к этим вновь возникшим угрозам мы наблюдали региональные вспышки жёлтой лихорадки, продолжающиеся вспышки холеры, распространение полиомиелита, продолжающееся несмотря на глобальные усилия по контролю распространения этого заболевания, значительный рост случаев заболевания лихорадкой денге и непрекращающееся распространение лихорадки Зика во всём мире.  Эти случаи служат суровым напоминанием об угрозе человечеству, которую </w:t>
      </w:r>
      <w:r w:rsidR="00B57C96">
        <w:rPr>
          <w:rFonts w:ascii="Arial" w:eastAsia="Arial" w:hAnsi="Arial" w:cs="Arial"/>
          <w:sz w:val="22"/>
          <w:szCs w:val="22"/>
          <w:lang w:val="ru-RU"/>
        </w:rPr>
        <w:t>несут</w:t>
      </w:r>
      <w:r w:rsidRPr="00B57C96">
        <w:rPr>
          <w:rFonts w:ascii="Arial" w:eastAsia="Arial" w:hAnsi="Arial" w:cs="Arial"/>
          <w:sz w:val="22"/>
          <w:szCs w:val="22"/>
          <w:lang w:val="ru-RU"/>
        </w:rPr>
        <w:t xml:space="preserve"> как существующие, так и вновь возникающие инфекционные заболевания.</w:t>
      </w:r>
    </w:p>
    <w:p w:rsidR="005924D3" w:rsidRPr="00B57C96" w:rsidRDefault="005924D3">
      <w:pPr>
        <w:ind w:left="426" w:hanging="426"/>
        <w:jc w:val="both"/>
        <w:rPr>
          <w:rFonts w:ascii="Arial" w:eastAsia="Arial" w:hAnsi="Arial" w:cs="Arial"/>
          <w:sz w:val="22"/>
          <w:szCs w:val="22"/>
          <w:lang w:val="ru-RU"/>
        </w:rPr>
      </w:pPr>
    </w:p>
    <w:p w:rsidR="005924D3" w:rsidRDefault="0088602A">
      <w:pPr>
        <w:numPr>
          <w:ilvl w:val="0"/>
          <w:numId w:val="1"/>
        </w:numPr>
        <w:spacing w:after="120"/>
        <w:ind w:left="426" w:hanging="426"/>
        <w:jc w:val="both"/>
        <w:rPr>
          <w:rFonts w:ascii="Arial" w:eastAsia="Arial" w:hAnsi="Arial" w:cs="Arial"/>
          <w:b/>
        </w:rPr>
      </w:pPr>
      <w:r>
        <w:rPr>
          <w:rFonts w:ascii="Arial" w:eastAsia="Arial" w:hAnsi="Arial" w:cs="Arial"/>
          <w:b/>
        </w:rPr>
        <w:t>Общая информация</w:t>
      </w:r>
    </w:p>
    <w:p w:rsidR="005924D3" w:rsidRPr="00B57C96" w:rsidRDefault="0088602A">
      <w:pPr>
        <w:jc w:val="both"/>
        <w:rPr>
          <w:rFonts w:ascii="Arial" w:eastAsia="Arial" w:hAnsi="Arial" w:cs="Arial"/>
          <w:sz w:val="22"/>
          <w:szCs w:val="22"/>
          <w:lang w:val="ru-RU"/>
        </w:rPr>
      </w:pPr>
      <w:r w:rsidRPr="00B57C96">
        <w:rPr>
          <w:rFonts w:ascii="Arial" w:eastAsia="Arial" w:hAnsi="Arial" w:cs="Arial"/>
          <w:sz w:val="22"/>
          <w:szCs w:val="22"/>
          <w:lang w:val="ru-RU"/>
        </w:rPr>
        <w:t>Эпидемии часто являются симптомом скрытых недостатков системы здравоохранения, инфраструктуры водоснабжения и канализации, а также результатом бедности и неравенства.  Они не только вызывают болезни и смерти людей, но также влияют на безопасность и экономику пострадавших сообществ.</w:t>
      </w:r>
    </w:p>
    <w:p w:rsidR="005924D3" w:rsidRPr="00B57C96" w:rsidRDefault="005924D3">
      <w:pPr>
        <w:jc w:val="both"/>
        <w:rPr>
          <w:rFonts w:ascii="Arial" w:eastAsia="Arial" w:hAnsi="Arial" w:cs="Arial"/>
          <w:sz w:val="22"/>
          <w:szCs w:val="22"/>
          <w:lang w:val="ru-RU"/>
        </w:rPr>
      </w:pPr>
    </w:p>
    <w:p w:rsidR="005924D3" w:rsidRPr="00B57C96" w:rsidRDefault="0088602A">
      <w:pPr>
        <w:jc w:val="both"/>
        <w:rPr>
          <w:rFonts w:ascii="Arial" w:eastAsia="Arial" w:hAnsi="Arial" w:cs="Arial"/>
          <w:sz w:val="22"/>
          <w:szCs w:val="22"/>
          <w:lang w:val="ru-RU"/>
        </w:rPr>
      </w:pPr>
      <w:r w:rsidRPr="00B57C96">
        <w:rPr>
          <w:rFonts w:ascii="Arial" w:eastAsia="Arial" w:hAnsi="Arial" w:cs="Arial"/>
          <w:sz w:val="22"/>
          <w:szCs w:val="22"/>
          <w:lang w:val="ru-RU"/>
        </w:rPr>
        <w:t xml:space="preserve">Основное направление совершенствования процесса реагирования на эпидемии, следовательно, </w:t>
      </w:r>
      <w:r w:rsidR="00B57C96">
        <w:rPr>
          <w:rFonts w:ascii="Arial" w:eastAsia="Arial" w:hAnsi="Arial" w:cs="Arial"/>
          <w:sz w:val="22"/>
          <w:szCs w:val="22"/>
          <w:lang w:val="ru-RU"/>
        </w:rPr>
        <w:t>подразумевает повышение</w:t>
      </w:r>
      <w:r w:rsidRPr="00B57C96">
        <w:rPr>
          <w:rFonts w:ascii="Arial" w:eastAsia="Arial" w:hAnsi="Arial" w:cs="Arial"/>
          <w:sz w:val="22"/>
          <w:szCs w:val="22"/>
          <w:lang w:val="ru-RU"/>
        </w:rPr>
        <w:t xml:space="preserve"> стрессоустойчивости и укреплени</w:t>
      </w:r>
      <w:r w:rsidR="00B57C96">
        <w:rPr>
          <w:rFonts w:ascii="Arial" w:eastAsia="Arial" w:hAnsi="Arial" w:cs="Arial"/>
          <w:sz w:val="22"/>
          <w:szCs w:val="22"/>
          <w:lang w:val="ru-RU"/>
        </w:rPr>
        <w:t>е</w:t>
      </w:r>
      <w:r w:rsidRPr="00B57C96">
        <w:rPr>
          <w:rFonts w:ascii="Arial" w:eastAsia="Arial" w:hAnsi="Arial" w:cs="Arial"/>
          <w:sz w:val="22"/>
          <w:szCs w:val="22"/>
          <w:lang w:val="ru-RU"/>
        </w:rPr>
        <w:t xml:space="preserve"> потенциала на всех уровнях, включая сообщества, национальные общества, правительства, а также в </w:t>
      </w:r>
      <w:r w:rsidR="00B57C96">
        <w:rPr>
          <w:rFonts w:ascii="Arial" w:eastAsia="Arial" w:hAnsi="Arial" w:cs="Arial"/>
          <w:sz w:val="22"/>
          <w:szCs w:val="22"/>
          <w:lang w:val="ru-RU"/>
        </w:rPr>
        <w:t>масштабах</w:t>
      </w:r>
      <w:r w:rsidRPr="00B57C96">
        <w:rPr>
          <w:rFonts w:ascii="Arial" w:eastAsia="Arial" w:hAnsi="Arial" w:cs="Arial"/>
          <w:sz w:val="22"/>
          <w:szCs w:val="22"/>
          <w:lang w:val="ru-RU"/>
        </w:rPr>
        <w:t xml:space="preserve"> гуманитарной системы.</w:t>
      </w:r>
    </w:p>
    <w:p w:rsidR="005924D3" w:rsidRPr="00B57C96" w:rsidRDefault="005924D3">
      <w:pPr>
        <w:jc w:val="both"/>
        <w:rPr>
          <w:rFonts w:ascii="Arial" w:eastAsia="Arial" w:hAnsi="Arial" w:cs="Arial"/>
          <w:sz w:val="22"/>
          <w:szCs w:val="22"/>
          <w:lang w:val="ru-RU"/>
        </w:rPr>
      </w:pPr>
    </w:p>
    <w:p w:rsidR="005924D3" w:rsidRPr="00B57C96" w:rsidRDefault="0088602A">
      <w:pPr>
        <w:jc w:val="both"/>
        <w:rPr>
          <w:rFonts w:ascii="Arial" w:eastAsia="Arial" w:hAnsi="Arial" w:cs="Arial"/>
          <w:sz w:val="22"/>
          <w:szCs w:val="22"/>
          <w:lang w:val="ru-RU"/>
        </w:rPr>
      </w:pPr>
      <w:r w:rsidRPr="00B57C96">
        <w:rPr>
          <w:rFonts w:ascii="Arial" w:eastAsia="Arial" w:hAnsi="Arial" w:cs="Arial"/>
          <w:sz w:val="22"/>
          <w:szCs w:val="22"/>
          <w:lang w:val="ru-RU"/>
        </w:rPr>
        <w:t xml:space="preserve">Резолюция целенаправленно </w:t>
      </w:r>
      <w:r w:rsidR="00B57C96">
        <w:rPr>
          <w:rFonts w:ascii="Arial" w:eastAsia="Arial" w:hAnsi="Arial" w:cs="Arial"/>
          <w:sz w:val="22"/>
          <w:szCs w:val="22"/>
          <w:lang w:val="ru-RU"/>
        </w:rPr>
        <w:t>сфокусирована</w:t>
      </w:r>
      <w:r w:rsidRPr="00B57C96">
        <w:rPr>
          <w:rFonts w:ascii="Arial" w:eastAsia="Arial" w:hAnsi="Arial" w:cs="Arial"/>
          <w:sz w:val="22"/>
          <w:szCs w:val="22"/>
          <w:lang w:val="ru-RU"/>
        </w:rPr>
        <w:t xml:space="preserve"> на мероприятиях и действиях, где Движение Красного Креста и Красного Полумесяца создаёт особую добавленную стоимость для имеющихся ресурсов и, следовательно, основное внимание уделяется подходам, ориентированным на сообщества, и локализованным методам реагирования.</w:t>
      </w:r>
    </w:p>
    <w:p w:rsidR="005924D3" w:rsidRPr="00B57C96" w:rsidRDefault="005924D3">
      <w:pPr>
        <w:jc w:val="both"/>
        <w:rPr>
          <w:rFonts w:ascii="Arial" w:eastAsia="Arial" w:hAnsi="Arial" w:cs="Arial"/>
          <w:sz w:val="22"/>
          <w:szCs w:val="22"/>
          <w:lang w:val="ru-RU"/>
        </w:rPr>
      </w:pPr>
    </w:p>
    <w:p w:rsidR="005924D3" w:rsidRPr="00B57C96" w:rsidRDefault="0088602A">
      <w:pPr>
        <w:jc w:val="both"/>
        <w:rPr>
          <w:rFonts w:ascii="Arial" w:eastAsia="Arial" w:hAnsi="Arial" w:cs="Arial"/>
          <w:sz w:val="22"/>
          <w:szCs w:val="22"/>
          <w:lang w:val="ru-RU"/>
        </w:rPr>
      </w:pPr>
      <w:r w:rsidRPr="00B57C96">
        <w:rPr>
          <w:rFonts w:ascii="Arial" w:eastAsia="Arial" w:hAnsi="Arial" w:cs="Arial"/>
          <w:sz w:val="22"/>
          <w:szCs w:val="22"/>
          <w:lang w:val="ru-RU"/>
        </w:rPr>
        <w:lastRenderedPageBreak/>
        <w:t>Внутри самого Международного Движения Красного Креста и Красного Полумесяца существует огромный потенциал для помощи системе здравоохранения на уровне отдельных людей, сообществ, государств, регионов и на глобальном уровне - по определению ВОЗ</w:t>
      </w:r>
      <w:r>
        <w:rPr>
          <w:rFonts w:ascii="Arial" w:eastAsia="Arial" w:hAnsi="Arial" w:cs="Arial"/>
          <w:sz w:val="22"/>
          <w:szCs w:val="22"/>
          <w:vertAlign w:val="superscript"/>
        </w:rPr>
        <w:footnoteReference w:id="1"/>
      </w:r>
      <w:r w:rsidRPr="00B57C96">
        <w:rPr>
          <w:rFonts w:ascii="Arial" w:eastAsia="Arial" w:hAnsi="Arial" w:cs="Arial"/>
          <w:sz w:val="22"/>
          <w:szCs w:val="22"/>
          <w:lang w:val="ru-RU"/>
        </w:rPr>
        <w:t xml:space="preserve">  - с помощью эффективного предо</w:t>
      </w:r>
      <w:r w:rsidR="00B57C96">
        <w:rPr>
          <w:rFonts w:ascii="Arial" w:eastAsia="Arial" w:hAnsi="Arial" w:cs="Arial"/>
          <w:sz w:val="22"/>
          <w:szCs w:val="22"/>
          <w:lang w:val="ru-RU"/>
        </w:rPr>
        <w:t>твращения эпидемий и контроля их распространения</w:t>
      </w:r>
      <w:r w:rsidRPr="00B57C96">
        <w:rPr>
          <w:rFonts w:ascii="Arial" w:eastAsia="Arial" w:hAnsi="Arial" w:cs="Arial"/>
          <w:sz w:val="22"/>
          <w:szCs w:val="22"/>
          <w:lang w:val="ru-RU"/>
        </w:rPr>
        <w:t>.</w:t>
      </w:r>
    </w:p>
    <w:p w:rsidR="005924D3" w:rsidRPr="00B57C96" w:rsidRDefault="005924D3">
      <w:pPr>
        <w:ind w:left="426" w:hanging="426"/>
        <w:jc w:val="both"/>
        <w:rPr>
          <w:rFonts w:ascii="Arial" w:eastAsia="Arial" w:hAnsi="Arial" w:cs="Arial"/>
          <w:color w:val="0070C0"/>
          <w:sz w:val="22"/>
          <w:szCs w:val="22"/>
          <w:lang w:val="ru-RU"/>
        </w:rPr>
      </w:pPr>
    </w:p>
    <w:p w:rsidR="005924D3" w:rsidRDefault="0088602A">
      <w:pPr>
        <w:numPr>
          <w:ilvl w:val="0"/>
          <w:numId w:val="1"/>
        </w:numPr>
        <w:spacing w:after="120"/>
        <w:ind w:left="426" w:hanging="426"/>
        <w:jc w:val="both"/>
        <w:rPr>
          <w:rFonts w:ascii="Arial" w:eastAsia="Arial" w:hAnsi="Arial" w:cs="Arial"/>
          <w:b/>
          <w:sz w:val="22"/>
          <w:szCs w:val="22"/>
        </w:rPr>
      </w:pPr>
      <w:r>
        <w:rPr>
          <w:rFonts w:ascii="Arial" w:eastAsia="Arial" w:hAnsi="Arial" w:cs="Arial"/>
          <w:b/>
          <w:sz w:val="22"/>
          <w:szCs w:val="22"/>
        </w:rPr>
        <w:t>Анализ / Прогресс</w:t>
      </w:r>
    </w:p>
    <w:p w:rsidR="005924D3" w:rsidRPr="00B57C96" w:rsidRDefault="0088602A">
      <w:pPr>
        <w:jc w:val="both"/>
        <w:rPr>
          <w:rFonts w:ascii="Arial" w:eastAsia="Arial" w:hAnsi="Arial" w:cs="Arial"/>
          <w:sz w:val="22"/>
          <w:szCs w:val="22"/>
          <w:lang w:val="ru-RU"/>
        </w:rPr>
      </w:pPr>
      <w:r w:rsidRPr="00B57C96">
        <w:rPr>
          <w:rFonts w:ascii="Arial" w:eastAsia="Arial" w:hAnsi="Arial" w:cs="Arial"/>
          <w:sz w:val="22"/>
          <w:szCs w:val="22"/>
          <w:lang w:val="ru-RU"/>
        </w:rPr>
        <w:t>Движение имеет долгий и обширный опыт работы по предо</w:t>
      </w:r>
      <w:r w:rsidR="00B57C96">
        <w:rPr>
          <w:rFonts w:ascii="Arial" w:eastAsia="Arial" w:hAnsi="Arial" w:cs="Arial"/>
          <w:sz w:val="22"/>
          <w:szCs w:val="22"/>
          <w:lang w:val="ru-RU"/>
        </w:rPr>
        <w:t>твращению эпидемий и контролю их распространения</w:t>
      </w:r>
      <w:r w:rsidRPr="00B57C96">
        <w:rPr>
          <w:rFonts w:ascii="Arial" w:eastAsia="Arial" w:hAnsi="Arial" w:cs="Arial"/>
          <w:sz w:val="22"/>
          <w:szCs w:val="22"/>
          <w:lang w:val="ru-RU"/>
        </w:rPr>
        <w:t>.  Ежегодно национальные общества по всему миру участвуют в работе по мобилизации сообществ, уход</w:t>
      </w:r>
      <w:r w:rsidR="00B57C96">
        <w:rPr>
          <w:rFonts w:ascii="Arial" w:eastAsia="Arial" w:hAnsi="Arial" w:cs="Arial"/>
          <w:sz w:val="22"/>
          <w:szCs w:val="22"/>
          <w:lang w:val="ru-RU"/>
        </w:rPr>
        <w:t>у</w:t>
      </w:r>
      <w:r w:rsidRPr="00B57C96">
        <w:rPr>
          <w:rFonts w:ascii="Arial" w:eastAsia="Arial" w:hAnsi="Arial" w:cs="Arial"/>
          <w:sz w:val="22"/>
          <w:szCs w:val="22"/>
          <w:lang w:val="ru-RU"/>
        </w:rPr>
        <w:t xml:space="preserve"> за больными и защите людей в уязвимом положении от целого ряда инфекций.  Часто добровольцы национальных обществ являются основной движущей силой многосторонних программ, работая и обеспечивая координацию между правительством и агентствами ООН, чтобы обеспечить вовлечённость и принятие на местном уровне.  Ярким примером этого может служить недавний кризис, связанный со вспышкой лихорадки Эбола в Западной Африке, где более 6000 добровольцев участвовали в мероприятиях “на передовой” в наиболее пострадавших странах, и ещё тысячи работали в других областях региона.  Их работа была широко признана чрезвычайно важной, было отмечено, что именно она позволила остановить эпидемию и взять ситуацию под контроль.  Однако, вспышка лихорадки Эбола также показала слабость систем здравоохранения и гуманитарной работы, как внутреннюю, так и внешнюю, в плане способности обнаружить вспышки инфекционных заболеваний, среагировать на них и взять их под контроль.  Кризис, связанный со вспышкой лихорадки Эбола, - это призыв к действиям, нацеленным на повышение уровня нашей готовности и более эффективное реагирование на возрастающую угрозу широкомасштабных вспышек заболеваний.</w:t>
      </w:r>
    </w:p>
    <w:p w:rsidR="005924D3" w:rsidRPr="00B57C96" w:rsidRDefault="005924D3">
      <w:pPr>
        <w:jc w:val="both"/>
        <w:rPr>
          <w:rFonts w:ascii="Arial" w:eastAsia="Arial" w:hAnsi="Arial" w:cs="Arial"/>
          <w:sz w:val="22"/>
          <w:szCs w:val="22"/>
          <w:lang w:val="ru-RU"/>
        </w:rPr>
      </w:pPr>
    </w:p>
    <w:p w:rsidR="005924D3" w:rsidRPr="00B57C96" w:rsidRDefault="0088602A">
      <w:pPr>
        <w:rPr>
          <w:rFonts w:ascii="Arial" w:eastAsia="Arial" w:hAnsi="Arial" w:cs="Arial"/>
          <w:sz w:val="22"/>
          <w:szCs w:val="22"/>
          <w:lang w:val="ru-RU"/>
        </w:rPr>
      </w:pPr>
      <w:r w:rsidRPr="00B57C96">
        <w:rPr>
          <w:rFonts w:ascii="Arial" w:eastAsia="Arial" w:hAnsi="Arial" w:cs="Arial"/>
          <w:sz w:val="22"/>
          <w:szCs w:val="22"/>
          <w:lang w:val="ru-RU"/>
        </w:rPr>
        <w:t xml:space="preserve">В ответ на кризис, вызванный вспышкой лихорадки Эбола в 2015 г., Генеральный секретарь ООН созвал Группу высокого уровня по Глобальному реагированию на кризисы в области здравоохранения.  Группа отметила, что “высокий риск основных кризисных ситуаций в области здравоохранения сильно недооценён, и что </w:t>
      </w:r>
      <w:r w:rsidR="00B57C96">
        <w:rPr>
          <w:rFonts w:ascii="Arial" w:eastAsia="Arial" w:hAnsi="Arial" w:cs="Arial"/>
          <w:sz w:val="22"/>
          <w:szCs w:val="22"/>
          <w:lang w:val="ru-RU"/>
        </w:rPr>
        <w:t>уровень подготовленности</w:t>
      </w:r>
      <w:r w:rsidRPr="00B57C96">
        <w:rPr>
          <w:rFonts w:ascii="Arial" w:eastAsia="Arial" w:hAnsi="Arial" w:cs="Arial"/>
          <w:sz w:val="22"/>
          <w:szCs w:val="22"/>
          <w:lang w:val="ru-RU"/>
        </w:rPr>
        <w:t xml:space="preserve"> и потенциал для реагирования, к сожалению, находятся на недостаточно высоком уровне.  В будущем эпидемии могут существенно превосходить вспышку лихорадки Эбола в Западной Африке по масштабу и разрушающим последствиям”.  Группа далее признаёт, что “несмотря на значительную угрозу, глобальные усилия по подготовке к эпидемии были, к сожалению, недостаточными.  Глобальный инструмент, предназначенный для раннего обнаружения пандемий и реагирования на них, “Международные медико-санитарные правила” 2005 г. (ММСП), полностью исполняется только третьей частью из 196 подписавших его сторон (Отчёт Группы высокого уровня по глобальному реагированию на кризисы в области здравоохранения, 2016 г.)</w:t>
      </w:r>
    </w:p>
    <w:p w:rsidR="005924D3" w:rsidRPr="00B57C96" w:rsidRDefault="005924D3">
      <w:pPr>
        <w:rPr>
          <w:rFonts w:ascii="Arial" w:eastAsia="Arial" w:hAnsi="Arial" w:cs="Arial"/>
          <w:sz w:val="22"/>
          <w:szCs w:val="22"/>
          <w:lang w:val="ru-RU"/>
        </w:rPr>
      </w:pPr>
    </w:p>
    <w:p w:rsidR="005924D3" w:rsidRPr="00B57C96" w:rsidRDefault="0088602A">
      <w:pPr>
        <w:jc w:val="both"/>
        <w:rPr>
          <w:rFonts w:ascii="Arial" w:eastAsia="Arial" w:hAnsi="Arial" w:cs="Arial"/>
          <w:sz w:val="22"/>
          <w:szCs w:val="22"/>
          <w:lang w:val="ru-RU"/>
        </w:rPr>
      </w:pPr>
      <w:r w:rsidRPr="00B57C96">
        <w:rPr>
          <w:rFonts w:ascii="Arial" w:eastAsia="Arial" w:hAnsi="Arial" w:cs="Arial"/>
          <w:sz w:val="22"/>
          <w:szCs w:val="22"/>
          <w:lang w:val="ru-RU"/>
        </w:rPr>
        <w:t xml:space="preserve">В свете этих находок и полученного опыта организационной работы многие агентства, включая ВОЗ и ряд </w:t>
      </w:r>
      <w:r w:rsidR="00B57C96">
        <w:rPr>
          <w:rFonts w:ascii="Arial" w:eastAsia="Arial" w:hAnsi="Arial" w:cs="Arial"/>
          <w:sz w:val="22"/>
          <w:szCs w:val="22"/>
          <w:lang w:val="ru-RU"/>
        </w:rPr>
        <w:t>государственных ведомств</w:t>
      </w:r>
      <w:r w:rsidRPr="00B57C96">
        <w:rPr>
          <w:rFonts w:ascii="Arial" w:eastAsia="Arial" w:hAnsi="Arial" w:cs="Arial"/>
          <w:sz w:val="22"/>
          <w:szCs w:val="22"/>
          <w:lang w:val="ru-RU"/>
        </w:rPr>
        <w:t xml:space="preserve"> в области здравоохранения, претерпели существенные изменения чтобы обеспечить своё “соответствие целевому назначению” и способность более эффективно обнаруживать вспышки заболеваний и реагировать на них.  Несмотря на эти существенные изменения и инвестиции, в области предотвращения эпидемий на уровне сообществ, а также в отношении потенциала для реагирования всё ещё имеются пробелы.</w:t>
      </w:r>
    </w:p>
    <w:p w:rsidR="005924D3" w:rsidRPr="00B57C96" w:rsidRDefault="005924D3">
      <w:pPr>
        <w:jc w:val="both"/>
        <w:rPr>
          <w:rFonts w:ascii="Arial" w:eastAsia="Arial" w:hAnsi="Arial" w:cs="Arial"/>
          <w:sz w:val="22"/>
          <w:szCs w:val="22"/>
          <w:lang w:val="ru-RU"/>
        </w:rPr>
      </w:pPr>
    </w:p>
    <w:p w:rsidR="005924D3" w:rsidRPr="00B57C96" w:rsidRDefault="0088602A">
      <w:pPr>
        <w:jc w:val="both"/>
        <w:rPr>
          <w:rFonts w:ascii="Arial" w:eastAsia="Arial" w:hAnsi="Arial" w:cs="Arial"/>
          <w:sz w:val="22"/>
          <w:szCs w:val="22"/>
          <w:lang w:val="ru-RU"/>
        </w:rPr>
      </w:pPr>
      <w:r w:rsidRPr="00B57C96">
        <w:rPr>
          <w:rFonts w:ascii="Arial" w:eastAsia="Arial" w:hAnsi="Arial" w:cs="Arial"/>
          <w:sz w:val="22"/>
          <w:szCs w:val="22"/>
          <w:lang w:val="ru-RU"/>
        </w:rPr>
        <w:lastRenderedPageBreak/>
        <w:t>Признание риска, который представляют вспышки заболеваний, является существенным шагом вперёд, который необходимо поддержать устойчивым прогрессом в работе по укреплению потенциала.  Международное Движение Красного Креста и Красного Полумесяца находится в уникальном положении и может поддержать работу по укреплению потенциала с помощью более эффективного реагирования на местные угрозы и более интенсивное наращивание возможностей для ликвидации региональных и глобальных кризисных ситуаций, следуя основным гуманитарным принципам и стремясь сохранять жизни и повышать устойчивость систем здравоохранения.</w:t>
      </w:r>
    </w:p>
    <w:p w:rsidR="005924D3" w:rsidRPr="00B57C96" w:rsidRDefault="005924D3">
      <w:pPr>
        <w:ind w:left="426" w:hanging="426"/>
        <w:jc w:val="both"/>
        <w:rPr>
          <w:rFonts w:ascii="Arial" w:eastAsia="Arial" w:hAnsi="Arial" w:cs="Arial"/>
          <w:color w:val="0070C0"/>
          <w:sz w:val="22"/>
          <w:szCs w:val="22"/>
          <w:lang w:val="ru-RU"/>
        </w:rPr>
      </w:pPr>
    </w:p>
    <w:p w:rsidR="005924D3" w:rsidRDefault="0088602A">
      <w:pPr>
        <w:numPr>
          <w:ilvl w:val="0"/>
          <w:numId w:val="1"/>
        </w:numPr>
        <w:spacing w:after="120"/>
        <w:ind w:left="426" w:hanging="426"/>
        <w:jc w:val="both"/>
        <w:rPr>
          <w:rFonts w:ascii="Arial" w:eastAsia="Arial" w:hAnsi="Arial" w:cs="Arial"/>
          <w:b/>
          <w:sz w:val="22"/>
          <w:szCs w:val="22"/>
        </w:rPr>
      </w:pPr>
      <w:r>
        <w:rPr>
          <w:rFonts w:ascii="Arial" w:eastAsia="Arial" w:hAnsi="Arial" w:cs="Arial"/>
          <w:b/>
          <w:sz w:val="22"/>
          <w:szCs w:val="22"/>
        </w:rPr>
        <w:t>Выводы и рекомендации</w:t>
      </w:r>
    </w:p>
    <w:p w:rsidR="005924D3" w:rsidRPr="00B57C96" w:rsidRDefault="0088602A">
      <w:pPr>
        <w:jc w:val="both"/>
        <w:rPr>
          <w:rFonts w:ascii="Arial" w:eastAsia="Arial" w:hAnsi="Arial" w:cs="Arial"/>
          <w:sz w:val="22"/>
          <w:szCs w:val="22"/>
          <w:lang w:val="ru-RU"/>
        </w:rPr>
      </w:pPr>
      <w:r w:rsidRPr="00B57C96">
        <w:rPr>
          <w:rFonts w:ascii="Arial" w:eastAsia="Arial" w:hAnsi="Arial" w:cs="Arial"/>
          <w:sz w:val="22"/>
          <w:szCs w:val="22"/>
          <w:lang w:val="ru-RU"/>
        </w:rPr>
        <w:t>Целью данной резолюции является поддержать участников Движения в их работе по планированию и реализации структурированного, комплексного, предсказуемого и скоординированного подхода к предотвращению, обнаружению эпидемий, реагированию на них и восстановлению после них в тесном сотрудничестве с государствами и другими партнёрами.</w:t>
      </w:r>
    </w:p>
    <w:p w:rsidR="005924D3" w:rsidRPr="00B57C96" w:rsidRDefault="005924D3">
      <w:pPr>
        <w:jc w:val="both"/>
        <w:rPr>
          <w:rFonts w:ascii="Arial" w:eastAsia="Arial" w:hAnsi="Arial" w:cs="Arial"/>
          <w:sz w:val="22"/>
          <w:szCs w:val="22"/>
          <w:lang w:val="ru-RU"/>
        </w:rPr>
      </w:pPr>
    </w:p>
    <w:p w:rsidR="005924D3" w:rsidRPr="00B57C96" w:rsidRDefault="0088602A">
      <w:pPr>
        <w:jc w:val="both"/>
        <w:rPr>
          <w:rFonts w:ascii="Arial" w:eastAsia="Arial" w:hAnsi="Arial" w:cs="Arial"/>
          <w:sz w:val="22"/>
          <w:szCs w:val="22"/>
          <w:lang w:val="ru-RU"/>
        </w:rPr>
      </w:pPr>
      <w:bookmarkStart w:id="2" w:name="_30j0zll" w:colFirst="0" w:colLast="0"/>
      <w:bookmarkEnd w:id="2"/>
      <w:r w:rsidRPr="00B57C96">
        <w:rPr>
          <w:rFonts w:ascii="Arial" w:eastAsia="Arial" w:hAnsi="Arial" w:cs="Arial"/>
          <w:sz w:val="22"/>
          <w:szCs w:val="22"/>
          <w:lang w:val="ru-RU"/>
        </w:rPr>
        <w:t>Резолюция поможет упростить выработку общего подхода для национальных обществ и партнёров, как внутри стран, так и на международном уровне, для обеспечения максимального эффекта от всех инвестиций в контроль за эпидемиями, успешного проведения мероприятий по контролю и реагированию, и в конечном итоге для спасения жизней и укрепления здоровья людей, находящихся в наиболее уязвимом положении.</w:t>
      </w:r>
    </w:p>
    <w:sectPr w:rsidR="005924D3" w:rsidRPr="00B57C96">
      <w:type w:val="continuous"/>
      <w:pgSz w:w="11906" w:h="16838"/>
      <w:pgMar w:top="1417" w:right="1417" w:bottom="1417" w:left="1417"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1A8" w:rsidRDefault="009041A8">
      <w:r>
        <w:separator/>
      </w:r>
    </w:p>
  </w:endnote>
  <w:endnote w:type="continuationSeparator" w:id="0">
    <w:p w:rsidR="009041A8" w:rsidRDefault="0090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D3" w:rsidRDefault="005924D3">
    <w:pPr>
      <w:tabs>
        <w:tab w:val="center" w:pos="4536"/>
        <w:tab w:val="right" w:pos="9072"/>
      </w:tabs>
      <w:spacing w:after="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D3" w:rsidRDefault="005924D3">
    <w:pPr>
      <w:tabs>
        <w:tab w:val="center" w:pos="4536"/>
        <w:tab w:val="right" w:pos="9072"/>
      </w:tabs>
      <w:spacing w:after="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D3" w:rsidRDefault="005924D3">
    <w:pPr>
      <w:tabs>
        <w:tab w:val="center" w:pos="4536"/>
        <w:tab w:val="right" w:pos="9072"/>
      </w:tabs>
      <w:jc w:val="center"/>
    </w:pPr>
  </w:p>
  <w:p w:rsidR="005924D3" w:rsidRDefault="005924D3">
    <w:pPr>
      <w:tabs>
        <w:tab w:val="center" w:pos="4536"/>
        <w:tab w:val="right" w:pos="9072"/>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1A8" w:rsidRDefault="009041A8">
      <w:r>
        <w:separator/>
      </w:r>
    </w:p>
  </w:footnote>
  <w:footnote w:type="continuationSeparator" w:id="0">
    <w:p w:rsidR="009041A8" w:rsidRDefault="009041A8">
      <w:r>
        <w:continuationSeparator/>
      </w:r>
    </w:p>
  </w:footnote>
  <w:footnote w:id="1">
    <w:p w:rsidR="005924D3" w:rsidRPr="00B57C96" w:rsidRDefault="0088602A">
      <w:pPr>
        <w:jc w:val="both"/>
        <w:rPr>
          <w:rFonts w:ascii="Arial" w:eastAsia="Arial" w:hAnsi="Arial" w:cs="Arial"/>
          <w:sz w:val="18"/>
          <w:szCs w:val="18"/>
          <w:highlight w:val="white"/>
          <w:lang w:val="ru-RU"/>
        </w:rPr>
      </w:pPr>
      <w:r>
        <w:rPr>
          <w:vertAlign w:val="superscript"/>
        </w:rPr>
        <w:footnoteRef/>
      </w:r>
      <w:r w:rsidRPr="00B57C96">
        <w:rPr>
          <w:rFonts w:ascii="Arial" w:eastAsia="Arial" w:hAnsi="Arial" w:cs="Arial"/>
          <w:sz w:val="18"/>
          <w:szCs w:val="18"/>
          <w:lang w:val="ru-RU"/>
        </w:rPr>
        <w:t xml:space="preserve"> </w:t>
      </w:r>
      <w:r w:rsidRPr="00B57C96">
        <w:rPr>
          <w:rFonts w:ascii="Arial" w:eastAsia="Arial" w:hAnsi="Arial" w:cs="Arial"/>
          <w:sz w:val="18"/>
          <w:szCs w:val="18"/>
          <w:highlight w:val="white"/>
          <w:lang w:val="ru-RU"/>
        </w:rPr>
        <w:t>ВОЗ определяет Международную безопасность в области здравоохранения как мероприятия, как активные, так и реактивные, необходимые для минимизации уязвимости перед острыми угрозами здоровью общества, которые представляют риск для коллективного здоровья  населения, живущего в пределах географических регионов и международных границ.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D3" w:rsidRDefault="0088602A">
    <w:pPr>
      <w:tabs>
        <w:tab w:val="center" w:pos="4536"/>
        <w:tab w:val="right" w:pos="9072"/>
      </w:tabs>
      <w:spacing w:before="708"/>
      <w:jc w:val="right"/>
    </w:pPr>
    <w:r>
      <w:fldChar w:fldCharType="begin"/>
    </w:r>
    <w:r>
      <w:instrText>PAGE</w:instrText>
    </w:r>
    <w:r>
      <w:fldChar w:fldCharType="end"/>
    </w:r>
  </w:p>
  <w:p w:rsidR="005924D3" w:rsidRDefault="005924D3">
    <w:pPr>
      <w:tabs>
        <w:tab w:val="center" w:pos="4536"/>
        <w:tab w:val="right" w:pos="9072"/>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D3" w:rsidRDefault="0088602A">
    <w:pPr>
      <w:tabs>
        <w:tab w:val="center" w:pos="4536"/>
        <w:tab w:val="right" w:pos="9072"/>
      </w:tabs>
      <w:spacing w:before="708"/>
      <w:jc w:val="right"/>
    </w:pPr>
    <w:r>
      <w:fldChar w:fldCharType="begin"/>
    </w:r>
    <w:r>
      <w:instrText>PAGE</w:instrText>
    </w:r>
    <w:r>
      <w:fldChar w:fldCharType="separate"/>
    </w:r>
    <w:r w:rsidR="00E01C2A">
      <w:rPr>
        <w:noProof/>
      </w:rPr>
      <w:t>2</w:t>
    </w:r>
    <w:r>
      <w:fldChar w:fldCharType="end"/>
    </w:r>
  </w:p>
  <w:p w:rsidR="005924D3" w:rsidRDefault="0088602A">
    <w:pPr>
      <w:tabs>
        <w:tab w:val="center" w:pos="4536"/>
        <w:tab w:val="right" w:pos="9072"/>
      </w:tabs>
      <w:ind w:right="360"/>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2A" w:rsidRDefault="00E01C2A" w:rsidP="00E01C2A">
    <w:pPr>
      <w:pStyle w:val="a6"/>
      <w:rPr>
        <w:b/>
        <w:i/>
      </w:rPr>
    </w:pPr>
  </w:p>
  <w:p w:rsidR="00E01C2A" w:rsidRDefault="00E01C2A" w:rsidP="00E01C2A">
    <w:pPr>
      <w:pStyle w:val="a6"/>
      <w:rPr>
        <w:b/>
        <w:i/>
      </w:rPr>
    </w:pPr>
    <w:bookmarkStart w:id="1" w:name="_GoBack"/>
    <w:bookmarkEnd w:id="1"/>
    <w:r>
      <w:rPr>
        <w:b/>
        <w:i/>
      </w:rPr>
      <w:t>Informal translation, IFRC Moscow Representation</w:t>
    </w:r>
  </w:p>
  <w:p w:rsidR="005924D3" w:rsidRDefault="0088602A">
    <w:pPr>
      <w:tabs>
        <w:tab w:val="center" w:pos="4536"/>
        <w:tab w:val="right" w:pos="9072"/>
      </w:tabs>
      <w:spacing w:before="708"/>
      <w:jc w:val="center"/>
      <w:rPr>
        <w:rFonts w:ascii="Arial" w:eastAsia="Arial" w:hAnsi="Arial" w:cs="Arial"/>
        <w:b/>
        <w:sz w:val="20"/>
        <w:szCs w:val="20"/>
      </w:rPr>
    </w:pPr>
    <w:r>
      <w:rPr>
        <w:rFonts w:ascii="Arial" w:eastAsia="Arial" w:hAnsi="Arial" w:cs="Arial"/>
        <w:b/>
        <w:noProof/>
        <w:sz w:val="20"/>
        <w:szCs w:val="20"/>
      </w:rPr>
      <w:drawing>
        <wp:inline distT="0" distB="0" distL="0" distR="0">
          <wp:extent cx="4749884" cy="1445594"/>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749884" cy="144559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0CC1"/>
    <w:multiLevelType w:val="multilevel"/>
    <w:tmpl w:val="D7964C98"/>
    <w:lvl w:ilvl="0">
      <w:start w:val="1"/>
      <w:numFmt w:val="decimal"/>
      <w:lvlText w:val="%1)"/>
      <w:lvlJc w:val="left"/>
      <w:pPr>
        <w:ind w:left="1080" w:hanging="360"/>
      </w:pPr>
      <w:rPr>
        <w:b/>
      </w:rPr>
    </w:lvl>
    <w:lvl w:ilvl="1">
      <w:start w:val="1"/>
      <w:numFmt w:val="bullet"/>
      <w:lvlText w:val="-"/>
      <w:lvlJc w:val="left"/>
      <w:pPr>
        <w:ind w:left="1800" w:hanging="360"/>
      </w:pPr>
      <w:rPr>
        <w:rFonts w:ascii="Arial" w:eastAsia="Arial" w:hAnsi="Arial" w:cs="Arial"/>
        <w:sz w:val="24"/>
        <w:szCs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924D3"/>
    <w:rsid w:val="001661D4"/>
    <w:rsid w:val="005924D3"/>
    <w:rsid w:val="0088602A"/>
    <w:rsid w:val="009041A8"/>
    <w:rsid w:val="00B57C96"/>
    <w:rsid w:val="00E01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77D4"/>
  <w15:docId w15:val="{A0E9FD5B-5A52-4DEE-BABB-B1122534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ru-RU"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spacing w:after="120"/>
      <w:outlineLvl w:val="0"/>
    </w:pPr>
    <w:rPr>
      <w:rFonts w:ascii="Arial" w:eastAsia="Arial" w:hAnsi="Arial" w:cs="Arial"/>
      <w:b/>
      <w:sz w:val="26"/>
      <w:szCs w:val="26"/>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00"/>
      <w:outlineLvl w:val="2"/>
    </w:pPr>
    <w:rPr>
      <w:rFonts w:ascii="Calibri" w:eastAsia="Calibri" w:hAnsi="Calibri" w:cs="Calibri"/>
      <w:b/>
      <w:color w:val="5B9BD5"/>
    </w:rPr>
  </w:style>
  <w:style w:type="paragraph" w:styleId="4">
    <w:name w:val="heading 4"/>
    <w:basedOn w:val="a"/>
    <w:next w:val="a"/>
    <w:pPr>
      <w:keepNext/>
      <w:keepLines/>
      <w:spacing w:before="200"/>
      <w:outlineLvl w:val="3"/>
    </w:pPr>
    <w:rPr>
      <w:rFonts w:ascii="Calibri" w:eastAsia="Calibri" w:hAnsi="Calibri" w:cs="Calibri"/>
      <w:b/>
      <w:i/>
      <w:color w:val="5B9BD5"/>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header"/>
    <w:basedOn w:val="a"/>
    <w:link w:val="a7"/>
    <w:semiHidden/>
    <w:unhideWhenUsed/>
    <w:rsid w:val="00E01C2A"/>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rFonts w:asciiTheme="minorHAnsi" w:eastAsiaTheme="minorHAnsi" w:hAnsiTheme="minorHAnsi" w:cstheme="minorBidi"/>
      <w:color w:val="auto"/>
      <w:sz w:val="22"/>
      <w:szCs w:val="22"/>
      <w:lang w:eastAsia="en-US"/>
    </w:rPr>
  </w:style>
  <w:style w:type="character" w:customStyle="1" w:styleId="a7">
    <w:name w:val="Верхний колонтитул Знак"/>
    <w:basedOn w:val="a0"/>
    <w:link w:val="a6"/>
    <w:semiHidden/>
    <w:rsid w:val="00E01C2A"/>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35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Алихан Гантемиров</cp:lastModifiedBy>
  <cp:revision>4</cp:revision>
  <dcterms:created xsi:type="dcterms:W3CDTF">2017-10-17T12:17:00Z</dcterms:created>
  <dcterms:modified xsi:type="dcterms:W3CDTF">2017-10-22T17:56:00Z</dcterms:modified>
</cp:coreProperties>
</file>