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30"/>
          <w:szCs w:val="30"/>
        </w:rPr>
      </w:pPr>
      <w:r w:rsidDel="00000000" w:rsidR="00000000" w:rsidRPr="00000000">
        <w:rPr>
          <w:rFonts w:ascii="Arial" w:cs="Arial" w:eastAsia="Arial" w:hAnsi="Arial"/>
          <w:b w:val="1"/>
          <w:sz w:val="28"/>
          <w:szCs w:val="28"/>
          <w:rtl w:val="0"/>
        </w:rPr>
        <w:t xml:space="preserve">Семинар</w:t>
      </w:r>
      <w:r w:rsidDel="00000000" w:rsidR="00000000" w:rsidRPr="00000000">
        <w:rPr>
          <w:rFonts w:ascii="Arial" w:cs="Arial" w:eastAsia="Arial" w:hAnsi="Arial"/>
          <w:b w:val="1"/>
          <w:color w:val="000000"/>
          <w:sz w:val="28"/>
          <w:szCs w:val="28"/>
          <w:vertAlign w:val="baseline"/>
          <w:rtl w:val="0"/>
        </w:rPr>
        <w:t xml:space="preserve">: </w:t>
      </w:r>
      <w:r w:rsidDel="00000000" w:rsidR="00000000" w:rsidRPr="00000000">
        <w:rPr>
          <w:rFonts w:ascii="Arial" w:cs="Arial" w:eastAsia="Arial" w:hAnsi="Arial"/>
          <w:b w:val="1"/>
          <w:sz w:val="30"/>
          <w:szCs w:val="30"/>
          <w:rtl w:val="0"/>
        </w:rPr>
        <w:t xml:space="preserve">Использование оружия взрывного действия в населённых районах</w:t>
      </w:r>
      <w:r w:rsidDel="00000000" w:rsidR="00000000" w:rsidRPr="00000000">
        <w:rPr>
          <w:rFonts w:ascii="Arial" w:cs="Arial" w:eastAsia="Arial" w:hAnsi="Arial"/>
          <w:b w:val="1"/>
          <w:sz w:val="30"/>
          <w:szCs w:val="30"/>
          <w:vertAlign w:val="baseline"/>
          <w:rtl w:val="0"/>
        </w:rPr>
        <w:t xml:space="preserve"> </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План</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Основные моменты</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Недавно закончившиеся и идущие в настоящее время вооружённые конфликты продемонстрировали разрушительные последствия применения оружия взрывного действия с широким радиусом поражения в населённых районах.  Такое применение оружия взрывного действия является основной причиной смерти и травм среди гражданского населения.  Оно также приводит к обширным и длительным повреждениям гражданских объектов, включая необходимую для жизнедеятельности инфраструктуру, и оказывает косвенное воздействие, выражающееся в нарушении работы городских услуг, таких как здравоохранение, водоснабжение, а также ведет к перемещению гражданских лиц.</w:t>
      </w:r>
    </w:p>
    <w:p w:rsidR="00000000" w:rsidDel="00000000" w:rsidP="00000000" w:rsidRDefault="00000000" w:rsidRPr="00000000">
      <w:pPr>
        <w:shd w:fill="ffffff"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Международный Комитет Красного Креста (МККК) и национальные общества Красного Креста и Красного Полумесяца (национальные общества) поделятся информацией и обсудят, как лучше скоординировать их работу по данному вопросу, с целью повысить уровень защиты гражданского населения с помощью юридических, политических и оперативных мер противодействия применению оружия взрывного действия в населённых районах, согласно позиции Совета Делегатов 2013 года.</w:t>
      </w:r>
    </w:p>
    <w:p w:rsidR="00000000" w:rsidDel="00000000" w:rsidP="00000000" w:rsidRDefault="00000000" w:rsidRPr="00000000">
      <w:pPr>
        <w:spacing w:line="3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Общая информация</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В пункте 4 постановляющей части Резолюции 7 Совета Делегатов 2013 года “выражен </w:t>
      </w:r>
      <w:r w:rsidDel="00000000" w:rsidR="00000000" w:rsidRPr="00000000">
        <w:rPr>
          <w:rFonts w:ascii="Arial" w:cs="Arial" w:eastAsia="Arial" w:hAnsi="Arial"/>
          <w:i w:val="1"/>
          <w:sz w:val="22"/>
          <w:szCs w:val="22"/>
          <w:rtl w:val="0"/>
        </w:rPr>
        <w:t xml:space="preserve">призыв к государствам</w:t>
      </w:r>
      <w:r w:rsidDel="00000000" w:rsidR="00000000" w:rsidRPr="00000000">
        <w:rPr>
          <w:rFonts w:ascii="Arial" w:cs="Arial" w:eastAsia="Arial" w:hAnsi="Arial"/>
          <w:sz w:val="22"/>
          <w:szCs w:val="22"/>
          <w:rtl w:val="0"/>
        </w:rPr>
        <w:t xml:space="preserve"> повысить уровень защиты гражданских лиц от неизбирательного применения и воздействия оружия взрывного действия, включая тщательное соблюдение существующих норм международного гуманитарного права, а также избегать применения оружия взрывного действия с широким радиусом поражения в густонаселённых районах”.</w:t>
      </w:r>
    </w:p>
    <w:p w:rsidR="00000000" w:rsidDel="00000000" w:rsidP="00000000" w:rsidRDefault="00000000" w:rsidRPr="00000000">
      <w:pP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Призыв Международного Движения Красного Креста и Красного Полумесяца отражает позицию МККК по применению оружия взрывного действия в населённых районах, впервые опубликованную в докладе МККК по международному гуманитарному праву и сложностям современных вооружённых конфликтов, представленном на 31-й Международной Конференции Красного Креста и Красного Полумесяца (Международная Конференция) в 2011 г., где говорилось, что “ввиду высокой вероятности неизбирательного воздействия и несмотря на отсутствие чёткого юридического запрета на использование конкретных видов оружия, МККК считает, что применения оружия взрывного действия с широким радиусом поражения в густонаселённых районах следует избегать”.</w:t>
      </w:r>
    </w:p>
    <w:p w:rsidR="00000000" w:rsidDel="00000000" w:rsidP="00000000" w:rsidRDefault="00000000" w:rsidRPr="00000000">
      <w:pPr>
        <w:shd w:fill="ffffff"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Начиная с 2011 года МККК реализует междисциплинарную стратегию в области применения оружия взрывного действия в населённых районах.  В этой работе участвуют эксперты в области защиты, международного гуманитарного права, водоснабжения, здравоохранения, загрязнения оружием, диалога с вооружёнными силами и коммуникации.  МККК принял эмпирический подход к вопросу, в основном с помощью (а) документов, подготовленных некоторыми из его делегаций на местах, где зафикисированы прямые и резонансные последствия использования оружия взрывного действия в населённых районах для гражданских лиц и гражданской инфраструктуры; (б) анализа ожидаемых, зависящих от дизайна и технических характеристик эффектов применения определённого вида оружия взрывного действия и (в) диалога с вооружёнными силами по вопросам соответствующей военной политики и практики.  Основные результаты этой работы будут опубликованы в отчёте МККК и представлены национальным обществам в ходе семинара.</w:t>
      </w:r>
    </w:p>
    <w:p w:rsidR="00000000" w:rsidDel="00000000" w:rsidP="00000000" w:rsidRDefault="00000000" w:rsidRPr="00000000">
      <w:pPr>
        <w:shd w:fill="ffffff"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Помимо этого, национальные общества работают в условиях, где оружие взрывного действия постоянно применяется в населённых районах, что имеет разрушительные гуманитарные последствия, включая описанные выше.  Такое применение оружия взрывного действия влияет на возможность национальных обществ осуществлять свою собственную работу по оказанию помощи.  Длительное применение оружия взрывного действия в городских условиях также оказывает долгосрочное отрицательное воздействие на образование и развитие.</w:t>
      </w:r>
    </w:p>
    <w:p w:rsidR="00000000" w:rsidDel="00000000" w:rsidP="00000000" w:rsidRDefault="00000000" w:rsidRPr="00000000">
      <w:pPr>
        <w:shd w:fill="ffffff"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Учитывая, что военные действия всё чаще ведутся в городах, высокая цена, которую платят гражданские лица за применение оружия взрывного действия в таких районах, вероятно, будет привлекать больше внимания в ближайшие годы, в том числе, в политических повестках дня на национальном и международном уровне.  На семинаре участники получат возможность обсудить эти вопросы.</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Цели семинара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Председателем семинара выступит Норвежский Красный Крест.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Основные цели семинара:</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160" w:before="0" w:line="259" w:lineRule="auto"/>
        <w:ind w:left="709" w:right="0" w:hanging="349"/>
        <w:contextualSpacing w:val="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повысить уровень информированности среди заинтересованных национальных обществ о последствиях применения оружия взрывного действия в населённых районах, а также о возможных методах реагирования с использованием передовых методов работы и установления новых стандартов в пострадавших районах;</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160" w:before="0" w:line="259" w:lineRule="auto"/>
        <w:ind w:left="709" w:right="0" w:hanging="349"/>
        <w:contextualSpacing w:val="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проинформировать национальные общества о событиях, произошедших после семинара по применению оружия взрывного действия в населённых районах, состоявшегося в рамках 32-й Международной Конференции;</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160" w:before="0" w:line="259" w:lineRule="auto"/>
        <w:ind w:left="709" w:right="0" w:hanging="349"/>
        <w:contextualSpacing w:val="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кратко проинформировать национальные общества об основных элементах работы МККК и об ожидаемом открытом отчёте по вопросам применения оружия взрывного действия в населённых районах и соответствующих рекомендациях;</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160" w:before="0" w:line="259" w:lineRule="auto"/>
        <w:ind w:left="709" w:right="0" w:hanging="349"/>
        <w:contextualSpacing w:val="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выделить типы мер, которые уже были приняты или могут быть приняты МККК и несколькими национальными обществами для снижения гуманитарного воздействия применения оружия взрывного действия в населённых районах; и</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160" w:before="0" w:line="259" w:lineRule="auto"/>
        <w:ind w:left="709" w:right="0" w:hanging="349"/>
        <w:contextualSpacing w:val="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обсудить с заинтересованными национальными обществами, как они могут продолжить работу в этой области, а также какая помощь им может потребоваться.</w:t>
      </w:r>
    </w:p>
    <w:p w:rsidR="00000000" w:rsidDel="00000000" w:rsidP="00000000" w:rsidRDefault="00000000" w:rsidRPr="00000000">
      <w:pPr>
        <w:shd w:fill="ffffff"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МККК и несколько национальных обществ представят отчёты о своей работе и планах в области применения оружия взрывного действия в населённых районах, включая национальные общества, которые уже отчитывались о своей работе в проекте отчёта, дополняющего Резолюцию 7, которая будет представлена на Совете Делегатов 2017 года. Национальные общества, работающие в условиях, где применение оружия взрывного действия в населённых регионах является отличительной чертой ведения боевых действий, пригласят поделиться своим опытом и рассказать о сложностях, с которыми они столкнулись.</w:t>
      </w:r>
    </w:p>
    <w:p w:rsidR="00000000" w:rsidDel="00000000" w:rsidP="00000000" w:rsidRDefault="00000000" w:rsidRPr="00000000">
      <w:pPr>
        <w:contextualSpacing w:val="0"/>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Справочные материалы</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Резолюция 7 Совета Делегатов 2013 года, </w:t>
      </w:r>
      <w:r w:rsidDel="00000000" w:rsidR="00000000" w:rsidRPr="00000000">
        <w:rPr>
          <w:rFonts w:ascii="Arial" w:cs="Arial" w:eastAsia="Arial" w:hAnsi="Arial"/>
          <w:sz w:val="22"/>
          <w:szCs w:val="22"/>
          <w:rtl w:val="0"/>
        </w:rPr>
        <w:t xml:space="preserve">“Оружие и международное гуманитарное право”:</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sz w:val="22"/>
          <w:szCs w:val="22"/>
          <w:vertAlign w:val="baseline"/>
        </w:rPr>
      </w:pPr>
      <w:hyperlink r:id="rId5">
        <w:r w:rsidDel="00000000" w:rsidR="00000000" w:rsidRPr="00000000">
          <w:rPr>
            <w:rFonts w:ascii="Arial" w:cs="Arial" w:eastAsia="Arial" w:hAnsi="Arial"/>
            <w:color w:val="0000ff"/>
            <w:sz w:val="22"/>
            <w:szCs w:val="22"/>
            <w:u w:val="single"/>
            <w:vertAlign w:val="baseline"/>
            <w:rtl w:val="0"/>
          </w:rPr>
          <w:t xml:space="preserve">https://www.icrc.org/eng/assets/files/red-cross-crescent-movement/council-delegates-2013/cod13-r7-weapons-and-ihl-adopted-eng.pdf</w:t>
        </w:r>
      </w:hyperlink>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pPr>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sz w:val="22"/>
          <w:szCs w:val="22"/>
          <w:vertAlign w:val="baseline"/>
        </w:rPr>
      </w:pPr>
      <w:bookmarkStart w:colFirst="0" w:colLast="0" w:name="_mudc9ilswwf4" w:id="0"/>
      <w:bookmarkEnd w:id="0"/>
      <w:r w:rsidDel="00000000" w:rsidR="00000000" w:rsidRPr="00000000">
        <w:rPr>
          <w:rFonts w:ascii="Arial" w:cs="Arial" w:eastAsia="Arial" w:hAnsi="Arial"/>
          <w:sz w:val="22"/>
          <w:szCs w:val="22"/>
          <w:rtl w:val="0"/>
        </w:rPr>
        <w:t xml:space="preserve">Страница сайта МККК, посвящённая вопросам применения оружия взрывного действия в населённых районах</w:t>
      </w:r>
      <w:r w:rsidDel="00000000" w:rsidR="00000000" w:rsidRPr="00000000">
        <w:rPr>
          <w:rFonts w:ascii="Arial" w:cs="Arial" w:eastAsia="Arial" w:hAnsi="Arial"/>
          <w:color w:val="000000"/>
          <w:sz w:val="22"/>
          <w:szCs w:val="22"/>
          <w:vertAlign w:val="baseline"/>
          <w:rtl w:val="0"/>
        </w:rPr>
        <w:t xml:space="preserve">: </w:t>
      </w:r>
      <w:hyperlink r:id="rId6">
        <w:r w:rsidDel="00000000" w:rsidR="00000000" w:rsidRPr="00000000">
          <w:rPr>
            <w:rFonts w:ascii="Arial" w:cs="Arial" w:eastAsia="Arial" w:hAnsi="Arial"/>
            <w:color w:val="0000ff"/>
            <w:sz w:val="22"/>
            <w:szCs w:val="22"/>
            <w:u w:val="single"/>
            <w:vertAlign w:val="baseline"/>
            <w:rtl w:val="0"/>
          </w:rPr>
          <w:t xml:space="preserve">www.icrc.org/ewpa</w:t>
        </w:r>
      </w:hyperlink>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sectPr>
      <w:headerReference r:id="rId7" w:type="first"/>
      <w:pgSz w:h="16838" w:w="11906"/>
      <w:pgMar w:bottom="1418" w:top="737" w:left="1418" w:right="141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284"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660775" cy="111633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660775" cy="11163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icrc.org/eng/assets/files/red-cross-crescent-movement/council-delegates-2013/cod13-r7-weapons-and-ihl-adopted-eng.pdf" TargetMode="External"/><Relationship Id="rId6" Type="http://schemas.openxmlformats.org/officeDocument/2006/relationships/hyperlink" Target="http://www.icrc.org/ewp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