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D47E8" w14:textId="3E2D3E6B" w:rsidR="00416BDB" w:rsidRPr="0028798F" w:rsidRDefault="00415DC7" w:rsidP="0028798F">
      <w:pPr>
        <w:rPr>
          <w:b/>
          <w:szCs w:val="20"/>
        </w:rPr>
      </w:pPr>
      <w:r w:rsidRPr="0028798F">
        <w:rPr>
          <w:b/>
          <w:szCs w:val="20"/>
        </w:rPr>
        <w:t>Meeting the needs of persons with disabilities in humanitarian emergencies</w:t>
      </w:r>
    </w:p>
    <w:p w14:paraId="698A665A" w14:textId="77777777" w:rsidR="008D6681" w:rsidRPr="008D6681" w:rsidRDefault="008D6681" w:rsidP="008D6681">
      <w:pPr>
        <w:pStyle w:val="ListParagraph"/>
        <w:rPr>
          <w:b/>
          <w:szCs w:val="20"/>
        </w:rPr>
      </w:pPr>
    </w:p>
    <w:p w14:paraId="1544F174" w14:textId="44598B68" w:rsidR="008D29F9" w:rsidRDefault="008D29F9" w:rsidP="00422308">
      <w:pPr>
        <w:pStyle w:val="ListParagraph"/>
        <w:numPr>
          <w:ilvl w:val="0"/>
          <w:numId w:val="8"/>
        </w:numPr>
        <w:rPr>
          <w:b/>
          <w:szCs w:val="20"/>
        </w:rPr>
      </w:pPr>
      <w:r>
        <w:rPr>
          <w:b/>
          <w:szCs w:val="20"/>
        </w:rPr>
        <w:t>Promotion of IHL and other legal protections for persons with disabilities at relevant</w:t>
      </w:r>
      <w:r w:rsidR="00390145">
        <w:rPr>
          <w:b/>
          <w:szCs w:val="20"/>
        </w:rPr>
        <w:t xml:space="preserve"> international meetings and for</w:t>
      </w:r>
      <w:r>
        <w:rPr>
          <w:b/>
          <w:szCs w:val="20"/>
        </w:rPr>
        <w:t>a, internationally and domestically, to uphold their rights as an integral part of ef</w:t>
      </w:r>
      <w:r w:rsidR="00390145">
        <w:rPr>
          <w:b/>
          <w:szCs w:val="20"/>
        </w:rPr>
        <w:t>fective humanitarian assistance;</w:t>
      </w:r>
    </w:p>
    <w:p w14:paraId="7D857A56" w14:textId="77777777" w:rsidR="008D6681" w:rsidRDefault="008D6681" w:rsidP="008D6681">
      <w:pPr>
        <w:pStyle w:val="ListParagraph"/>
        <w:rPr>
          <w:b/>
          <w:szCs w:val="20"/>
        </w:rPr>
      </w:pPr>
    </w:p>
    <w:p w14:paraId="2EF67393" w14:textId="297E08D0" w:rsidR="00B86A92" w:rsidRPr="00D53ACA" w:rsidRDefault="00B86A92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D53ACA">
        <w:rPr>
          <w:szCs w:val="20"/>
        </w:rPr>
        <w:t>NZRC supported and contributed to the NZ Government-sponsored resolution on Article 11 at the Committee on the Rights of Persons with Disabilities (CRPD) at the Human Rights Commission (HRC), March 2016</w:t>
      </w:r>
      <w:r w:rsidR="00D53ACA" w:rsidRPr="00D53ACA">
        <w:rPr>
          <w:szCs w:val="20"/>
        </w:rPr>
        <w:t>.</w:t>
      </w:r>
    </w:p>
    <w:p w14:paraId="3FBC9B34" w14:textId="17F139E8" w:rsidR="00B86A92" w:rsidRPr="00607381" w:rsidRDefault="00B86A92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607381">
        <w:rPr>
          <w:szCs w:val="20"/>
        </w:rPr>
        <w:t xml:space="preserve">NZ </w:t>
      </w:r>
      <w:r w:rsidR="00607381" w:rsidRPr="00607381">
        <w:rPr>
          <w:szCs w:val="20"/>
        </w:rPr>
        <w:t xml:space="preserve">Government made a </w:t>
      </w:r>
      <w:r w:rsidRPr="00607381">
        <w:rPr>
          <w:szCs w:val="20"/>
        </w:rPr>
        <w:t>statement at 34</w:t>
      </w:r>
      <w:r w:rsidRPr="00B27BF1">
        <w:rPr>
          <w:szCs w:val="20"/>
        </w:rPr>
        <w:t>th</w:t>
      </w:r>
      <w:r w:rsidRPr="00607381">
        <w:rPr>
          <w:szCs w:val="20"/>
        </w:rPr>
        <w:t xml:space="preserve"> Session of the Human Rights Council and hosted a side event</w:t>
      </w:r>
      <w:r w:rsidR="00D53ACA">
        <w:rPr>
          <w:szCs w:val="20"/>
        </w:rPr>
        <w:t xml:space="preserve"> in</w:t>
      </w:r>
      <w:r w:rsidRPr="00607381">
        <w:rPr>
          <w:szCs w:val="20"/>
        </w:rPr>
        <w:t xml:space="preserve"> March 2017</w:t>
      </w:r>
      <w:r w:rsidR="00D53ACA">
        <w:rPr>
          <w:szCs w:val="20"/>
        </w:rPr>
        <w:t>.</w:t>
      </w:r>
    </w:p>
    <w:p w14:paraId="71907293" w14:textId="1C473CA5" w:rsidR="00B86A92" w:rsidRPr="00607381" w:rsidRDefault="00B86A92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607381">
        <w:rPr>
          <w:szCs w:val="20"/>
        </w:rPr>
        <w:t xml:space="preserve">NZ </w:t>
      </w:r>
      <w:r w:rsidR="00607381" w:rsidRPr="00607381">
        <w:rPr>
          <w:szCs w:val="20"/>
        </w:rPr>
        <w:t xml:space="preserve">Government made </w:t>
      </w:r>
      <w:r w:rsidRPr="00607381">
        <w:rPr>
          <w:szCs w:val="20"/>
        </w:rPr>
        <w:t xml:space="preserve">statements at </w:t>
      </w:r>
      <w:r w:rsidR="00607381" w:rsidRPr="00607381">
        <w:rPr>
          <w:szCs w:val="20"/>
        </w:rPr>
        <w:t xml:space="preserve">the </w:t>
      </w:r>
      <w:r w:rsidRPr="00607381">
        <w:rPr>
          <w:szCs w:val="20"/>
        </w:rPr>
        <w:t>C</w:t>
      </w:r>
      <w:r w:rsidR="00607381" w:rsidRPr="00607381">
        <w:rPr>
          <w:szCs w:val="20"/>
        </w:rPr>
        <w:t>RP</w:t>
      </w:r>
      <w:r w:rsidRPr="00607381">
        <w:rPr>
          <w:szCs w:val="20"/>
        </w:rPr>
        <w:t>D Conference of States Parties, June 2016 and June 2017</w:t>
      </w:r>
      <w:r w:rsidR="00D53ACA">
        <w:rPr>
          <w:szCs w:val="20"/>
        </w:rPr>
        <w:t>.</w:t>
      </w:r>
    </w:p>
    <w:p w14:paraId="06783943" w14:textId="29BBD6E6" w:rsidR="00B86A92" w:rsidRPr="00607381" w:rsidRDefault="00607381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607381">
        <w:rPr>
          <w:szCs w:val="20"/>
        </w:rPr>
        <w:t>NZ Government a</w:t>
      </w:r>
      <w:r w:rsidR="00B86A92" w:rsidRPr="00607381">
        <w:rPr>
          <w:szCs w:val="20"/>
        </w:rPr>
        <w:t>dvocated to strengthen disability inclusion language in UN General Assembly and UN Economic and Social Council (ECOSOC) resolutions during the 71</w:t>
      </w:r>
      <w:r w:rsidR="00B86A92" w:rsidRPr="00B27BF1">
        <w:rPr>
          <w:szCs w:val="20"/>
        </w:rPr>
        <w:t>st</w:t>
      </w:r>
      <w:r w:rsidR="00B86A92" w:rsidRPr="00607381">
        <w:rPr>
          <w:szCs w:val="20"/>
        </w:rPr>
        <w:t xml:space="preserve"> General Assembly.</w:t>
      </w:r>
    </w:p>
    <w:p w14:paraId="29F02845" w14:textId="77777777" w:rsidR="00390145" w:rsidRPr="008D6681" w:rsidRDefault="00390145" w:rsidP="008D6681">
      <w:pPr>
        <w:rPr>
          <w:b/>
          <w:szCs w:val="20"/>
        </w:rPr>
      </w:pPr>
    </w:p>
    <w:p w14:paraId="0524C9E1" w14:textId="3F35D3AA" w:rsidR="008D29F9" w:rsidRDefault="008D29F9" w:rsidP="00422308">
      <w:pPr>
        <w:pStyle w:val="ListParagraph"/>
        <w:numPr>
          <w:ilvl w:val="0"/>
          <w:numId w:val="8"/>
        </w:numPr>
        <w:rPr>
          <w:b/>
          <w:szCs w:val="20"/>
        </w:rPr>
      </w:pPr>
      <w:r>
        <w:rPr>
          <w:b/>
          <w:szCs w:val="20"/>
        </w:rPr>
        <w:t>Internationally and domestically, programming for humanitarian assistance that acknowledges that people with disabilities may be disproportionately affected by dis</w:t>
      </w:r>
      <w:r w:rsidR="00390145">
        <w:rPr>
          <w:b/>
          <w:szCs w:val="20"/>
        </w:rPr>
        <w:t>aster or other emergency, and th</w:t>
      </w:r>
      <w:r>
        <w:rPr>
          <w:b/>
          <w:szCs w:val="20"/>
        </w:rPr>
        <w:t>at engages with the disability community and supports as appropriate existing disability support structures, working to ensure their continued resilience and services co</w:t>
      </w:r>
      <w:r w:rsidR="00390145">
        <w:rPr>
          <w:b/>
          <w:szCs w:val="20"/>
        </w:rPr>
        <w:t xml:space="preserve">ntinuity in times of emergency; </w:t>
      </w:r>
    </w:p>
    <w:p w14:paraId="42F1B8FF" w14:textId="77777777" w:rsidR="008D6681" w:rsidRDefault="008D6681" w:rsidP="008D6681">
      <w:pPr>
        <w:pStyle w:val="ListParagraph"/>
        <w:rPr>
          <w:b/>
          <w:szCs w:val="20"/>
        </w:rPr>
      </w:pPr>
    </w:p>
    <w:p w14:paraId="04F7B043" w14:textId="078BAAE6" w:rsidR="00E574CC" w:rsidRPr="00B27BF1" w:rsidRDefault="008E375A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E574CC">
        <w:rPr>
          <w:szCs w:val="20"/>
        </w:rPr>
        <w:t>NZRC has incorporated persons with a disability into program</w:t>
      </w:r>
      <w:r w:rsidR="00D53ACA">
        <w:rPr>
          <w:szCs w:val="20"/>
        </w:rPr>
        <w:t>me</w:t>
      </w:r>
      <w:r w:rsidRPr="00E574CC">
        <w:rPr>
          <w:szCs w:val="20"/>
        </w:rPr>
        <w:t xml:space="preserve"> planning guidance and training for community-led emergency resilience planning, a Recovery Matters handbook and Psychological First Aid</w:t>
      </w:r>
      <w:r w:rsidR="00D53ACA">
        <w:rPr>
          <w:szCs w:val="20"/>
        </w:rPr>
        <w:t xml:space="preserve"> programme</w:t>
      </w:r>
      <w:r w:rsidRPr="00E574CC">
        <w:rPr>
          <w:szCs w:val="20"/>
        </w:rPr>
        <w:t>.</w:t>
      </w:r>
      <w:r w:rsidR="00E574CC" w:rsidRPr="00B27BF1">
        <w:rPr>
          <w:szCs w:val="20"/>
        </w:rPr>
        <w:t xml:space="preserve"> </w:t>
      </w:r>
    </w:p>
    <w:p w14:paraId="2A5A41DD" w14:textId="4594D05C" w:rsidR="00E574CC" w:rsidRPr="00E574CC" w:rsidRDefault="00E574CC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E574CC">
        <w:rPr>
          <w:szCs w:val="20"/>
        </w:rPr>
        <w:t xml:space="preserve">The NZ Government has endorsed a Charter on Inclusion of Persons with Disabilities in Humanitarian Action. </w:t>
      </w:r>
    </w:p>
    <w:p w14:paraId="639D896F" w14:textId="60F0AEA9" w:rsidR="00E574CC" w:rsidRPr="00E574CC" w:rsidRDefault="00E574CC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E574CC">
        <w:rPr>
          <w:szCs w:val="20"/>
        </w:rPr>
        <w:t>NZ Government is developing a Monitoring &amp; Evaluation framework for international responses</w:t>
      </w:r>
      <w:r w:rsidR="00D53ACA">
        <w:rPr>
          <w:szCs w:val="20"/>
        </w:rPr>
        <w:t>.</w:t>
      </w:r>
    </w:p>
    <w:p w14:paraId="5BBAC0CE" w14:textId="5337DD48" w:rsidR="008E375A" w:rsidRDefault="00E574CC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>
        <w:rPr>
          <w:szCs w:val="20"/>
        </w:rPr>
        <w:t>NZRC and NZ Government a</w:t>
      </w:r>
      <w:r w:rsidRPr="00E574CC">
        <w:rPr>
          <w:szCs w:val="20"/>
        </w:rPr>
        <w:t>ttended 6th Global Platform on Disaster Risk Reduction (DRR) in Cancun, Mexico, May 2017.</w:t>
      </w:r>
    </w:p>
    <w:p w14:paraId="0FBA3504" w14:textId="10397E44" w:rsidR="00D67D8C" w:rsidRPr="00E574CC" w:rsidRDefault="00D67D8C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>
        <w:rPr>
          <w:szCs w:val="20"/>
        </w:rPr>
        <w:t xml:space="preserve">The NZ Government continues to provide support to the Framework for Resilient Development in the Pacific adopted at the 2016 Pacific Islands Forum. </w:t>
      </w:r>
      <w:bookmarkStart w:id="0" w:name="_GoBack"/>
      <w:bookmarkEnd w:id="0"/>
    </w:p>
    <w:p w14:paraId="268385A4" w14:textId="77777777" w:rsidR="008E375A" w:rsidRPr="008D6681" w:rsidRDefault="008E375A" w:rsidP="008E375A">
      <w:pPr>
        <w:rPr>
          <w:b/>
          <w:szCs w:val="20"/>
        </w:rPr>
      </w:pPr>
    </w:p>
    <w:p w14:paraId="6004B702" w14:textId="7B2837D3" w:rsidR="005924FC" w:rsidRDefault="005924FC" w:rsidP="00422308">
      <w:pPr>
        <w:pStyle w:val="ListParagraph"/>
        <w:numPr>
          <w:ilvl w:val="0"/>
          <w:numId w:val="8"/>
        </w:numPr>
        <w:rPr>
          <w:b/>
          <w:szCs w:val="20"/>
        </w:rPr>
      </w:pPr>
      <w:r>
        <w:rPr>
          <w:b/>
          <w:szCs w:val="20"/>
        </w:rPr>
        <w:t xml:space="preserve">NZRC publication of a best practice guide or resource materials to help inform disaster response and recover related to disability sector, based in part on lessons learned from the Canterbury earthquake response. </w:t>
      </w:r>
    </w:p>
    <w:p w14:paraId="7162EFFA" w14:textId="77777777" w:rsidR="008E375A" w:rsidRDefault="008E375A" w:rsidP="008E375A">
      <w:pPr>
        <w:pStyle w:val="ListParagraph"/>
        <w:rPr>
          <w:b/>
          <w:szCs w:val="20"/>
        </w:rPr>
      </w:pPr>
    </w:p>
    <w:p w14:paraId="12CE94CB" w14:textId="0C697838" w:rsidR="008E375A" w:rsidRDefault="008E375A" w:rsidP="00B27BF1">
      <w:pPr>
        <w:pStyle w:val="ListParagraph"/>
        <w:numPr>
          <w:ilvl w:val="0"/>
          <w:numId w:val="15"/>
        </w:numPr>
        <w:ind w:left="1077" w:hanging="357"/>
        <w:rPr>
          <w:szCs w:val="20"/>
        </w:rPr>
      </w:pPr>
      <w:r w:rsidRPr="00694906">
        <w:rPr>
          <w:szCs w:val="20"/>
        </w:rPr>
        <w:t xml:space="preserve">A major evaluation of the </w:t>
      </w:r>
      <w:r w:rsidR="00E168F8">
        <w:rPr>
          <w:szCs w:val="20"/>
        </w:rPr>
        <w:t xml:space="preserve">NZRC </w:t>
      </w:r>
      <w:r w:rsidRPr="00694906">
        <w:rPr>
          <w:szCs w:val="20"/>
        </w:rPr>
        <w:t xml:space="preserve">Canterbury Earthquake Appeal and Recovery Programme has been completed and a process is underway to take </w:t>
      </w:r>
      <w:r>
        <w:rPr>
          <w:szCs w:val="20"/>
        </w:rPr>
        <w:t>the lessons learned and embed them</w:t>
      </w:r>
      <w:r w:rsidR="00E574CC">
        <w:rPr>
          <w:szCs w:val="20"/>
        </w:rPr>
        <w:t xml:space="preserve"> in the organisation</w:t>
      </w:r>
      <w:r w:rsidR="00E168F8">
        <w:rPr>
          <w:szCs w:val="20"/>
        </w:rPr>
        <w:t>.</w:t>
      </w:r>
    </w:p>
    <w:p w14:paraId="10DA9DA4" w14:textId="2A94DFC2" w:rsidR="007067FD" w:rsidRDefault="0028798F" w:rsidP="0028798F">
      <w:pPr>
        <w:pStyle w:val="ListParagraph"/>
        <w:ind w:left="360"/>
      </w:pPr>
      <w:r>
        <w:t xml:space="preserve"> </w:t>
      </w:r>
    </w:p>
    <w:sectPr w:rsidR="007067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39C98" w14:textId="77777777" w:rsidR="00BD0E31" w:rsidRDefault="00BD0E31" w:rsidP="00167F2F">
      <w:pPr>
        <w:spacing w:line="240" w:lineRule="auto"/>
      </w:pPr>
      <w:r>
        <w:separator/>
      </w:r>
    </w:p>
  </w:endnote>
  <w:endnote w:type="continuationSeparator" w:id="0">
    <w:p w14:paraId="4DA3BF84" w14:textId="77777777" w:rsidR="00BD0E31" w:rsidRDefault="00BD0E31" w:rsidP="00167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99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7FC0" w14:textId="55BBC42D" w:rsidR="004A6BFD" w:rsidRDefault="004A6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EBF93" w14:textId="77777777" w:rsidR="00167F2F" w:rsidRDefault="00167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98AC" w14:textId="77777777" w:rsidR="00BD0E31" w:rsidRDefault="00BD0E31" w:rsidP="00167F2F">
      <w:pPr>
        <w:spacing w:line="240" w:lineRule="auto"/>
      </w:pPr>
      <w:r>
        <w:separator/>
      </w:r>
    </w:p>
  </w:footnote>
  <w:footnote w:type="continuationSeparator" w:id="0">
    <w:p w14:paraId="5966046D" w14:textId="77777777" w:rsidR="00BD0E31" w:rsidRDefault="00BD0E31" w:rsidP="00167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121E" w14:textId="5EDA21E5" w:rsidR="0028798F" w:rsidRDefault="0028798F">
    <w:pPr>
      <w:pStyle w:val="Header"/>
    </w:pPr>
    <w:r>
      <w:t xml:space="preserve">New Zealand Red Cross </w:t>
    </w:r>
  </w:p>
  <w:p w14:paraId="425ADFC1" w14:textId="77777777" w:rsidR="0028798F" w:rsidRDefault="00287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1E3"/>
    <w:multiLevelType w:val="hybridMultilevel"/>
    <w:tmpl w:val="BCFE12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33F"/>
    <w:multiLevelType w:val="hybridMultilevel"/>
    <w:tmpl w:val="0AFCD2A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6096A"/>
    <w:multiLevelType w:val="hybridMultilevel"/>
    <w:tmpl w:val="4858C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0AD6"/>
    <w:multiLevelType w:val="hybridMultilevel"/>
    <w:tmpl w:val="DF2AECA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5626"/>
    <w:multiLevelType w:val="hybridMultilevel"/>
    <w:tmpl w:val="646629C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725E"/>
    <w:multiLevelType w:val="hybridMultilevel"/>
    <w:tmpl w:val="84402EFE"/>
    <w:lvl w:ilvl="0" w:tplc="49FEE806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3F6608"/>
    <w:multiLevelType w:val="hybridMultilevel"/>
    <w:tmpl w:val="DDA806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6C7B"/>
    <w:multiLevelType w:val="hybridMultilevel"/>
    <w:tmpl w:val="01A0CF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0E7D"/>
    <w:multiLevelType w:val="hybridMultilevel"/>
    <w:tmpl w:val="1C32F0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4C5D"/>
    <w:multiLevelType w:val="hybridMultilevel"/>
    <w:tmpl w:val="7E2E35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640B0"/>
    <w:multiLevelType w:val="hybridMultilevel"/>
    <w:tmpl w:val="FD30C4D6"/>
    <w:lvl w:ilvl="0" w:tplc="D894444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7344C"/>
    <w:multiLevelType w:val="hybridMultilevel"/>
    <w:tmpl w:val="A2447A92"/>
    <w:lvl w:ilvl="0" w:tplc="89CE1C7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293"/>
    <w:multiLevelType w:val="hybridMultilevel"/>
    <w:tmpl w:val="1FD48FC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5961"/>
    <w:multiLevelType w:val="hybridMultilevel"/>
    <w:tmpl w:val="3758AB5E"/>
    <w:lvl w:ilvl="0" w:tplc="CAC44D6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46CA8"/>
    <w:multiLevelType w:val="hybridMultilevel"/>
    <w:tmpl w:val="86BC623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82EF2"/>
    <w:multiLevelType w:val="hybridMultilevel"/>
    <w:tmpl w:val="73A63C3E"/>
    <w:lvl w:ilvl="0" w:tplc="A7D658C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00A0E74"/>
    <w:multiLevelType w:val="hybridMultilevel"/>
    <w:tmpl w:val="51DCD60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D44BB8"/>
    <w:multiLevelType w:val="hybridMultilevel"/>
    <w:tmpl w:val="251E65C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4166"/>
    <w:multiLevelType w:val="hybridMultilevel"/>
    <w:tmpl w:val="35126B1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0B8E"/>
    <w:multiLevelType w:val="hybridMultilevel"/>
    <w:tmpl w:val="DFFC4FA8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63AAC"/>
    <w:multiLevelType w:val="hybridMultilevel"/>
    <w:tmpl w:val="4448D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F2559"/>
    <w:multiLevelType w:val="hybridMultilevel"/>
    <w:tmpl w:val="BDE0C8AE"/>
    <w:lvl w:ilvl="0" w:tplc="3C9A37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B3043"/>
    <w:multiLevelType w:val="hybridMultilevel"/>
    <w:tmpl w:val="874AC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F4C33"/>
    <w:multiLevelType w:val="hybridMultilevel"/>
    <w:tmpl w:val="7E2E35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F7470"/>
    <w:multiLevelType w:val="hybridMultilevel"/>
    <w:tmpl w:val="DB029E2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241FB"/>
    <w:multiLevelType w:val="hybridMultilevel"/>
    <w:tmpl w:val="F552FA0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4EDB"/>
    <w:multiLevelType w:val="hybridMultilevel"/>
    <w:tmpl w:val="CC2C556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449A2"/>
    <w:multiLevelType w:val="hybridMultilevel"/>
    <w:tmpl w:val="46DE090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053EF"/>
    <w:multiLevelType w:val="hybridMultilevel"/>
    <w:tmpl w:val="E4F07B2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B22F1"/>
    <w:multiLevelType w:val="hybridMultilevel"/>
    <w:tmpl w:val="5F3023D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20"/>
  </w:num>
  <w:num w:numId="5">
    <w:abstractNumId w:val="5"/>
  </w:num>
  <w:num w:numId="6">
    <w:abstractNumId w:val="25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29"/>
  </w:num>
  <w:num w:numId="12">
    <w:abstractNumId w:val="26"/>
  </w:num>
  <w:num w:numId="13">
    <w:abstractNumId w:val="3"/>
  </w:num>
  <w:num w:numId="14">
    <w:abstractNumId w:val="17"/>
  </w:num>
  <w:num w:numId="15">
    <w:abstractNumId w:val="28"/>
  </w:num>
  <w:num w:numId="16">
    <w:abstractNumId w:val="4"/>
  </w:num>
  <w:num w:numId="17">
    <w:abstractNumId w:val="24"/>
  </w:num>
  <w:num w:numId="18">
    <w:abstractNumId w:val="11"/>
  </w:num>
  <w:num w:numId="19">
    <w:abstractNumId w:val="21"/>
  </w:num>
  <w:num w:numId="20">
    <w:abstractNumId w:val="23"/>
  </w:num>
  <w:num w:numId="21">
    <w:abstractNumId w:val="14"/>
  </w:num>
  <w:num w:numId="22">
    <w:abstractNumId w:val="16"/>
  </w:num>
  <w:num w:numId="23">
    <w:abstractNumId w:val="0"/>
  </w:num>
  <w:num w:numId="24">
    <w:abstractNumId w:val="8"/>
  </w:num>
  <w:num w:numId="25">
    <w:abstractNumId w:val="18"/>
  </w:num>
  <w:num w:numId="26">
    <w:abstractNumId w:val="22"/>
  </w:num>
  <w:num w:numId="27">
    <w:abstractNumId w:val="12"/>
  </w:num>
  <w:num w:numId="28">
    <w:abstractNumId w:val="7"/>
  </w:num>
  <w:num w:numId="29">
    <w:abstractNumId w:val="13"/>
  </w:num>
  <w:num w:numId="30">
    <w:abstractNumId w:val="30"/>
  </w:num>
  <w:num w:numId="3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D"/>
    <w:rsid w:val="00025CE9"/>
    <w:rsid w:val="000428B2"/>
    <w:rsid w:val="00085983"/>
    <w:rsid w:val="000C726E"/>
    <w:rsid w:val="000E360F"/>
    <w:rsid w:val="000F7257"/>
    <w:rsid w:val="00104842"/>
    <w:rsid w:val="001133E4"/>
    <w:rsid w:val="00143FF8"/>
    <w:rsid w:val="00152C84"/>
    <w:rsid w:val="00167F2F"/>
    <w:rsid w:val="001D4AD1"/>
    <w:rsid w:val="00204F64"/>
    <w:rsid w:val="002057D8"/>
    <w:rsid w:val="00272579"/>
    <w:rsid w:val="00280916"/>
    <w:rsid w:val="0028798F"/>
    <w:rsid w:val="0029485B"/>
    <w:rsid w:val="002A362D"/>
    <w:rsid w:val="002B157D"/>
    <w:rsid w:val="00316AFC"/>
    <w:rsid w:val="00330B67"/>
    <w:rsid w:val="00357750"/>
    <w:rsid w:val="00360F90"/>
    <w:rsid w:val="00361B8C"/>
    <w:rsid w:val="00364237"/>
    <w:rsid w:val="00367AF6"/>
    <w:rsid w:val="00367F1C"/>
    <w:rsid w:val="003832CA"/>
    <w:rsid w:val="00390145"/>
    <w:rsid w:val="003B032D"/>
    <w:rsid w:val="003E3898"/>
    <w:rsid w:val="00406430"/>
    <w:rsid w:val="004146BE"/>
    <w:rsid w:val="00415DC7"/>
    <w:rsid w:val="00416BDB"/>
    <w:rsid w:val="00422308"/>
    <w:rsid w:val="004656AD"/>
    <w:rsid w:val="004A6BFD"/>
    <w:rsid w:val="004B71DB"/>
    <w:rsid w:val="004C1D5D"/>
    <w:rsid w:val="004D2BDB"/>
    <w:rsid w:val="004E4BAD"/>
    <w:rsid w:val="004F319D"/>
    <w:rsid w:val="005076C9"/>
    <w:rsid w:val="0051516A"/>
    <w:rsid w:val="00520A7C"/>
    <w:rsid w:val="00580FBE"/>
    <w:rsid w:val="005924FC"/>
    <w:rsid w:val="005B35C2"/>
    <w:rsid w:val="005B7FA6"/>
    <w:rsid w:val="005C57C9"/>
    <w:rsid w:val="005E4FED"/>
    <w:rsid w:val="005F182F"/>
    <w:rsid w:val="00607381"/>
    <w:rsid w:val="00644D5E"/>
    <w:rsid w:val="00666B80"/>
    <w:rsid w:val="00692780"/>
    <w:rsid w:val="00694906"/>
    <w:rsid w:val="006A40A4"/>
    <w:rsid w:val="006A6A05"/>
    <w:rsid w:val="006B3D8B"/>
    <w:rsid w:val="006C096E"/>
    <w:rsid w:val="006C17CB"/>
    <w:rsid w:val="0070488A"/>
    <w:rsid w:val="007067FD"/>
    <w:rsid w:val="0072646F"/>
    <w:rsid w:val="00734503"/>
    <w:rsid w:val="00740441"/>
    <w:rsid w:val="007507E7"/>
    <w:rsid w:val="00753CC9"/>
    <w:rsid w:val="007D7B9B"/>
    <w:rsid w:val="0080341C"/>
    <w:rsid w:val="0083353B"/>
    <w:rsid w:val="008734B3"/>
    <w:rsid w:val="008936DA"/>
    <w:rsid w:val="008B1EFA"/>
    <w:rsid w:val="008D29F9"/>
    <w:rsid w:val="008D6681"/>
    <w:rsid w:val="008D6ADA"/>
    <w:rsid w:val="008E375A"/>
    <w:rsid w:val="008E3CBD"/>
    <w:rsid w:val="00932534"/>
    <w:rsid w:val="0094483A"/>
    <w:rsid w:val="00975DCA"/>
    <w:rsid w:val="009F1863"/>
    <w:rsid w:val="00A049F6"/>
    <w:rsid w:val="00A1494E"/>
    <w:rsid w:val="00A429EF"/>
    <w:rsid w:val="00A6383B"/>
    <w:rsid w:val="00A74A2E"/>
    <w:rsid w:val="00AC7EAA"/>
    <w:rsid w:val="00AD0B1A"/>
    <w:rsid w:val="00B066B8"/>
    <w:rsid w:val="00B27BF1"/>
    <w:rsid w:val="00B3252B"/>
    <w:rsid w:val="00B86A92"/>
    <w:rsid w:val="00BD0E31"/>
    <w:rsid w:val="00BD73B0"/>
    <w:rsid w:val="00C90410"/>
    <w:rsid w:val="00C92450"/>
    <w:rsid w:val="00CD3C05"/>
    <w:rsid w:val="00CE411D"/>
    <w:rsid w:val="00CE7069"/>
    <w:rsid w:val="00D12C21"/>
    <w:rsid w:val="00D136DF"/>
    <w:rsid w:val="00D242AA"/>
    <w:rsid w:val="00D40ADA"/>
    <w:rsid w:val="00D53ACA"/>
    <w:rsid w:val="00D67D8C"/>
    <w:rsid w:val="00DB6C4F"/>
    <w:rsid w:val="00DB71DB"/>
    <w:rsid w:val="00DC6295"/>
    <w:rsid w:val="00DD44B1"/>
    <w:rsid w:val="00DF5CBD"/>
    <w:rsid w:val="00E163BE"/>
    <w:rsid w:val="00E168F8"/>
    <w:rsid w:val="00E574CC"/>
    <w:rsid w:val="00E71DBE"/>
    <w:rsid w:val="00E86D33"/>
    <w:rsid w:val="00E876F6"/>
    <w:rsid w:val="00E9212E"/>
    <w:rsid w:val="00EB3C5D"/>
    <w:rsid w:val="00EB5619"/>
    <w:rsid w:val="00F03E9E"/>
    <w:rsid w:val="00F16131"/>
    <w:rsid w:val="00F93FA0"/>
    <w:rsid w:val="00FA680E"/>
    <w:rsid w:val="00FB5047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21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7067FD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FD"/>
    <w:pPr>
      <w:ind w:left="720"/>
      <w:contextualSpacing/>
    </w:pPr>
  </w:style>
  <w:style w:type="character" w:customStyle="1" w:styleId="NumberChar">
    <w:name w:val="Number Char"/>
    <w:link w:val="Number"/>
    <w:locked/>
    <w:rsid w:val="007067FD"/>
    <w:rPr>
      <w:rFonts w:ascii="Verdana" w:hAnsi="Verdana"/>
    </w:rPr>
  </w:style>
  <w:style w:type="paragraph" w:customStyle="1" w:styleId="Number">
    <w:name w:val="Number"/>
    <w:link w:val="NumberChar"/>
    <w:rsid w:val="007067FD"/>
    <w:pPr>
      <w:spacing w:before="120" w:after="120" w:line="288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70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F2F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2F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F2F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2F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C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C9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1494E"/>
  </w:style>
  <w:style w:type="character" w:styleId="CommentReference">
    <w:name w:val="annotation reference"/>
    <w:basedOn w:val="DefaultParagraphFont"/>
    <w:uiPriority w:val="99"/>
    <w:semiHidden/>
    <w:unhideWhenUsed/>
    <w:rsid w:val="00FD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7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7FC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7FC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BulletPoints">
    <w:name w:val="Bullet Points"/>
    <w:basedOn w:val="Normal"/>
    <w:link w:val="BulletPointsChar"/>
    <w:uiPriority w:val="6"/>
    <w:rsid w:val="00E574CC"/>
    <w:pPr>
      <w:numPr>
        <w:numId w:val="25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E574CC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2FFF-CE06-45EC-924D-F720E91E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Red Cross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Dudley</dc:creator>
  <cp:keywords/>
  <dc:description/>
  <cp:lastModifiedBy>Rebecca Dudley</cp:lastModifiedBy>
  <cp:revision>2</cp:revision>
  <cp:lastPrinted>2017-07-10T04:11:00Z</cp:lastPrinted>
  <dcterms:created xsi:type="dcterms:W3CDTF">2017-07-14T05:52:00Z</dcterms:created>
  <dcterms:modified xsi:type="dcterms:W3CDTF">2017-07-14T05:52:00Z</dcterms:modified>
</cp:coreProperties>
</file>